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B6573" w14:textId="70B189A1" w:rsidR="00737BCF" w:rsidRPr="007E41CC" w:rsidRDefault="00044CF0" w:rsidP="000733F0">
      <w:pPr>
        <w:pStyle w:val="Title"/>
        <w:pBdr>
          <w:bottom w:val="single" w:sz="8" w:space="4" w:color="244061" w:themeColor="accent1" w:themeShade="80"/>
        </w:pBdr>
        <w:spacing w:before="120" w:after="120" w:line="288" w:lineRule="auto"/>
        <w:rPr>
          <w:rFonts w:ascii="Century Gothic" w:hAnsi="Century Gothic"/>
          <w:b w:val="0"/>
          <w:sz w:val="28"/>
          <w:szCs w:val="28"/>
          <w:lang w:val="en-GB"/>
        </w:rPr>
      </w:pPr>
      <w:bookmarkStart w:id="0" w:name="_Toc287631270"/>
      <w:r>
        <w:rPr>
          <w:rFonts w:ascii="Century Gothic" w:hAnsi="Century Gothic"/>
          <w:iCs/>
          <w:sz w:val="28"/>
          <w:szCs w:val="28"/>
          <w:lang w:val="en-GB"/>
        </w:rPr>
        <w:t>SEQOHS Terms and Conditions</w:t>
      </w:r>
    </w:p>
    <w:p w14:paraId="78147691" w14:textId="045C70C5" w:rsidR="00762F24" w:rsidRDefault="00C25871" w:rsidP="000733F0">
      <w:pPr>
        <w:spacing w:before="120" w:line="288" w:lineRule="auto"/>
        <w:rPr>
          <w:rFonts w:ascii="Century Gothic" w:hAnsi="Century Gothic" w:cstheme="minorHAnsi"/>
          <w:bCs/>
          <w:color w:val="000000" w:themeColor="text1"/>
          <w:sz w:val="22"/>
          <w:lang w:val="en-US"/>
        </w:rPr>
      </w:pPr>
      <w:r>
        <w:rPr>
          <w:rFonts w:ascii="Century Gothic" w:hAnsi="Century Gothic" w:cstheme="minorHAnsi"/>
          <w:bCs/>
          <w:color w:val="000000" w:themeColor="text1"/>
          <w:sz w:val="22"/>
          <w:lang w:val="en-US"/>
        </w:rPr>
        <w:t>Any</w:t>
      </w:r>
      <w:r w:rsidR="00044CF0">
        <w:rPr>
          <w:rFonts w:ascii="Century Gothic" w:hAnsi="Century Gothic" w:cstheme="minorHAnsi"/>
          <w:bCs/>
          <w:color w:val="000000" w:themeColor="text1"/>
          <w:sz w:val="22"/>
          <w:lang w:val="en-US"/>
        </w:rPr>
        <w:t xml:space="preserve"> o</w:t>
      </w:r>
      <w:r w:rsidR="00602E22" w:rsidRPr="005B0AD6">
        <w:rPr>
          <w:rFonts w:ascii="Century Gothic" w:hAnsi="Century Gothic" w:cstheme="minorHAnsi"/>
          <w:bCs/>
          <w:color w:val="000000" w:themeColor="text1"/>
          <w:sz w:val="22"/>
          <w:lang w:val="en-US"/>
        </w:rPr>
        <w:t xml:space="preserve">ccupational health </w:t>
      </w:r>
      <w:r>
        <w:rPr>
          <w:rFonts w:ascii="Century Gothic" w:hAnsi="Century Gothic" w:cstheme="minorHAnsi"/>
          <w:bCs/>
          <w:color w:val="000000" w:themeColor="text1"/>
          <w:sz w:val="22"/>
          <w:lang w:val="en-US"/>
        </w:rPr>
        <w:t xml:space="preserve">service </w:t>
      </w:r>
      <w:r w:rsidR="009A176D">
        <w:rPr>
          <w:rFonts w:ascii="Century Gothic" w:hAnsi="Century Gothic" w:cstheme="minorHAnsi"/>
          <w:bCs/>
          <w:color w:val="000000" w:themeColor="text1"/>
          <w:sz w:val="22"/>
          <w:lang w:val="en-US"/>
        </w:rPr>
        <w:t xml:space="preserve">provider </w:t>
      </w:r>
      <w:r w:rsidR="00224BEB">
        <w:rPr>
          <w:rFonts w:ascii="Century Gothic" w:hAnsi="Century Gothic" w:cstheme="minorHAnsi"/>
          <w:bCs/>
          <w:color w:val="000000" w:themeColor="text1"/>
          <w:sz w:val="22"/>
          <w:lang w:val="en-US"/>
        </w:rPr>
        <w:t xml:space="preserve">and any occupational health physiotherapy provider </w:t>
      </w:r>
      <w:r>
        <w:rPr>
          <w:rFonts w:ascii="Century Gothic" w:hAnsi="Century Gothic" w:cstheme="minorHAnsi"/>
          <w:bCs/>
          <w:color w:val="000000" w:themeColor="text1"/>
          <w:sz w:val="22"/>
          <w:lang w:val="en-US"/>
        </w:rPr>
        <w:t>(“Service”)</w:t>
      </w:r>
      <w:r w:rsidR="00044CF0">
        <w:rPr>
          <w:rFonts w:ascii="Century Gothic" w:hAnsi="Century Gothic" w:cstheme="minorHAnsi"/>
          <w:bCs/>
          <w:color w:val="000000" w:themeColor="text1"/>
          <w:sz w:val="22"/>
          <w:lang w:val="en-US"/>
        </w:rPr>
        <w:t xml:space="preserve"> </w:t>
      </w:r>
      <w:r w:rsidR="00D20CA1">
        <w:rPr>
          <w:rFonts w:ascii="Century Gothic" w:hAnsi="Century Gothic" w:cstheme="minorHAnsi"/>
          <w:bCs/>
          <w:color w:val="000000" w:themeColor="text1"/>
          <w:sz w:val="22"/>
          <w:lang w:val="en-US"/>
        </w:rPr>
        <w:t xml:space="preserve">that </w:t>
      </w:r>
      <w:r w:rsidR="00721549">
        <w:rPr>
          <w:rFonts w:ascii="Century Gothic" w:hAnsi="Century Gothic" w:cstheme="minorHAnsi"/>
          <w:bCs/>
          <w:color w:val="000000" w:themeColor="text1"/>
          <w:sz w:val="22"/>
          <w:lang w:val="en-US"/>
        </w:rPr>
        <w:t>is registered</w:t>
      </w:r>
      <w:r>
        <w:rPr>
          <w:rFonts w:ascii="Century Gothic" w:hAnsi="Century Gothic" w:cstheme="minorHAnsi"/>
          <w:bCs/>
          <w:color w:val="000000" w:themeColor="text1"/>
          <w:sz w:val="22"/>
          <w:lang w:val="en-US"/>
        </w:rPr>
        <w:t xml:space="preserve"> with</w:t>
      </w:r>
      <w:r w:rsidR="00721549">
        <w:rPr>
          <w:rFonts w:ascii="Century Gothic" w:hAnsi="Century Gothic" w:cstheme="minorHAnsi"/>
          <w:bCs/>
          <w:color w:val="000000" w:themeColor="text1"/>
          <w:sz w:val="22"/>
          <w:lang w:val="en-US"/>
        </w:rPr>
        <w:t xml:space="preserve"> or accredited by</w:t>
      </w:r>
      <w:r>
        <w:rPr>
          <w:rFonts w:ascii="Century Gothic" w:hAnsi="Century Gothic" w:cstheme="minorHAnsi"/>
          <w:bCs/>
          <w:color w:val="000000" w:themeColor="text1"/>
          <w:sz w:val="22"/>
          <w:lang w:val="en-US"/>
        </w:rPr>
        <w:t xml:space="preserve"> </w:t>
      </w:r>
      <w:r w:rsidR="00DD6155" w:rsidRPr="005B0AD6">
        <w:rPr>
          <w:rFonts w:ascii="Century Gothic" w:hAnsi="Century Gothic" w:cstheme="minorHAnsi"/>
          <w:bCs/>
          <w:color w:val="000000" w:themeColor="text1"/>
          <w:sz w:val="22"/>
          <w:lang w:val="en-US"/>
        </w:rPr>
        <w:t xml:space="preserve">the </w:t>
      </w:r>
      <w:r w:rsidR="00497739" w:rsidRPr="005B0AD6">
        <w:rPr>
          <w:rFonts w:ascii="Century Gothic" w:hAnsi="Century Gothic" w:cstheme="minorHAnsi"/>
          <w:bCs/>
          <w:color w:val="000000" w:themeColor="text1"/>
          <w:sz w:val="22"/>
          <w:lang w:val="en-US"/>
        </w:rPr>
        <w:t xml:space="preserve">SEQOHS </w:t>
      </w:r>
      <w:r>
        <w:rPr>
          <w:rFonts w:ascii="Century Gothic" w:hAnsi="Century Gothic" w:cstheme="minorHAnsi"/>
          <w:bCs/>
          <w:color w:val="000000" w:themeColor="text1"/>
          <w:sz w:val="22"/>
          <w:lang w:val="en-US"/>
        </w:rPr>
        <w:t>Accreditation S</w:t>
      </w:r>
      <w:r w:rsidR="00DD6155" w:rsidRPr="005B0AD6">
        <w:rPr>
          <w:rFonts w:ascii="Century Gothic" w:hAnsi="Century Gothic" w:cstheme="minorHAnsi"/>
          <w:bCs/>
          <w:color w:val="000000" w:themeColor="text1"/>
          <w:sz w:val="22"/>
          <w:lang w:val="en-US"/>
        </w:rPr>
        <w:t xml:space="preserve">cheme </w:t>
      </w:r>
      <w:r>
        <w:rPr>
          <w:rFonts w:ascii="Century Gothic" w:hAnsi="Century Gothic" w:cstheme="minorHAnsi"/>
          <w:bCs/>
          <w:color w:val="000000" w:themeColor="text1"/>
          <w:sz w:val="22"/>
          <w:lang w:val="en-US"/>
        </w:rPr>
        <w:t>(“S</w:t>
      </w:r>
      <w:r w:rsidR="00DF5ACF">
        <w:rPr>
          <w:rFonts w:ascii="Century Gothic" w:hAnsi="Century Gothic" w:cstheme="minorHAnsi"/>
          <w:bCs/>
          <w:color w:val="000000" w:themeColor="text1"/>
          <w:sz w:val="22"/>
          <w:lang w:val="en-US"/>
        </w:rPr>
        <w:t>EQOHS</w:t>
      </w:r>
      <w:r>
        <w:rPr>
          <w:rFonts w:ascii="Century Gothic" w:hAnsi="Century Gothic" w:cstheme="minorHAnsi"/>
          <w:bCs/>
          <w:color w:val="000000" w:themeColor="text1"/>
          <w:sz w:val="22"/>
          <w:lang w:val="en-US"/>
        </w:rPr>
        <w:t xml:space="preserve">”) must </w:t>
      </w:r>
      <w:r w:rsidR="00497739" w:rsidRPr="005B0AD6">
        <w:rPr>
          <w:rFonts w:ascii="Century Gothic" w:hAnsi="Century Gothic" w:cstheme="minorHAnsi"/>
          <w:bCs/>
          <w:color w:val="000000" w:themeColor="text1"/>
          <w:sz w:val="22"/>
          <w:lang w:val="en-US"/>
        </w:rPr>
        <w:t>read and</w:t>
      </w:r>
      <w:r w:rsidR="00762F24" w:rsidRPr="005B0AD6">
        <w:rPr>
          <w:rFonts w:ascii="Century Gothic" w:hAnsi="Century Gothic" w:cstheme="minorHAnsi"/>
          <w:bCs/>
          <w:color w:val="000000" w:themeColor="text1"/>
          <w:sz w:val="22"/>
          <w:lang w:val="en-US"/>
        </w:rPr>
        <w:t xml:space="preserve"> acknowledge </w:t>
      </w:r>
      <w:r w:rsidR="00737BCF" w:rsidRPr="005B0AD6">
        <w:rPr>
          <w:rFonts w:ascii="Century Gothic" w:hAnsi="Century Gothic" w:cstheme="minorHAnsi"/>
          <w:bCs/>
          <w:color w:val="000000" w:themeColor="text1"/>
          <w:sz w:val="22"/>
          <w:lang w:val="en-US"/>
        </w:rPr>
        <w:t>the</w:t>
      </w:r>
      <w:r>
        <w:rPr>
          <w:rFonts w:ascii="Century Gothic" w:hAnsi="Century Gothic" w:cstheme="minorHAnsi"/>
          <w:bCs/>
          <w:color w:val="000000" w:themeColor="text1"/>
          <w:sz w:val="22"/>
          <w:lang w:val="en-US"/>
        </w:rPr>
        <w:t xml:space="preserve"> SEQOHS Terms and C</w:t>
      </w:r>
      <w:r w:rsidR="00737BCF" w:rsidRPr="005B0AD6">
        <w:rPr>
          <w:rFonts w:ascii="Century Gothic" w:hAnsi="Century Gothic" w:cstheme="minorHAnsi"/>
          <w:bCs/>
          <w:color w:val="000000" w:themeColor="text1"/>
          <w:sz w:val="22"/>
          <w:lang w:val="en-US"/>
        </w:rPr>
        <w:t xml:space="preserve">onditions, </w:t>
      </w:r>
      <w:r w:rsidR="00762F24" w:rsidRPr="005B0AD6">
        <w:rPr>
          <w:rFonts w:ascii="Century Gothic" w:hAnsi="Century Gothic" w:cstheme="minorHAnsi"/>
          <w:bCs/>
          <w:color w:val="000000" w:themeColor="text1"/>
          <w:sz w:val="22"/>
          <w:lang w:val="en-US"/>
        </w:rPr>
        <w:t>as part of their application</w:t>
      </w:r>
      <w:r w:rsidR="00B813AB">
        <w:rPr>
          <w:rFonts w:ascii="Century Gothic" w:hAnsi="Century Gothic" w:cstheme="minorHAnsi"/>
          <w:bCs/>
          <w:color w:val="000000" w:themeColor="text1"/>
          <w:sz w:val="22"/>
          <w:lang w:val="en-US"/>
        </w:rPr>
        <w:t xml:space="preserve">, </w:t>
      </w:r>
      <w:r w:rsidR="00133850">
        <w:rPr>
          <w:rFonts w:ascii="Century Gothic" w:hAnsi="Century Gothic" w:cstheme="minorHAnsi"/>
          <w:bCs/>
          <w:color w:val="000000" w:themeColor="text1"/>
          <w:sz w:val="22"/>
          <w:lang w:val="en-US"/>
        </w:rPr>
        <w:t xml:space="preserve">and agree to </w:t>
      </w:r>
      <w:r w:rsidR="00866606">
        <w:rPr>
          <w:rFonts w:ascii="Century Gothic" w:hAnsi="Century Gothic" w:cstheme="minorHAnsi"/>
          <w:bCs/>
          <w:color w:val="000000" w:themeColor="text1"/>
          <w:sz w:val="22"/>
          <w:lang w:val="en-US"/>
        </w:rPr>
        <w:t xml:space="preserve">comply with </w:t>
      </w:r>
      <w:r w:rsidR="00233F19">
        <w:rPr>
          <w:rFonts w:ascii="Century Gothic" w:hAnsi="Century Gothic" w:cstheme="minorHAnsi"/>
          <w:bCs/>
          <w:color w:val="000000" w:themeColor="text1"/>
          <w:sz w:val="22"/>
          <w:lang w:val="en-US"/>
        </w:rPr>
        <w:t>the current SEQOHS Terms and Conditions as published on the SEQOHS website.</w:t>
      </w:r>
    </w:p>
    <w:p w14:paraId="6194D11E" w14:textId="7D074D6B" w:rsidR="002C0CC2" w:rsidRPr="005C15AC" w:rsidRDefault="00D20CA1" w:rsidP="005C15AC">
      <w:pPr>
        <w:pStyle w:val="Heading1"/>
        <w:rPr>
          <w:szCs w:val="24"/>
        </w:rPr>
      </w:pPr>
      <w:r w:rsidRPr="005C15AC">
        <w:t>Definitions</w:t>
      </w:r>
    </w:p>
    <w:tbl>
      <w:tblPr>
        <w:tblStyle w:val="TableGrid"/>
        <w:tblW w:w="0" w:type="auto"/>
        <w:tblInd w:w="108" w:type="dxa"/>
        <w:tblLook w:val="04A0" w:firstRow="1" w:lastRow="0" w:firstColumn="1" w:lastColumn="0" w:noHBand="0" w:noVBand="1"/>
      </w:tblPr>
      <w:tblGrid>
        <w:gridCol w:w="2694"/>
        <w:gridCol w:w="6828"/>
      </w:tblGrid>
      <w:tr w:rsidR="00D122D7" w:rsidRPr="005B0AD6" w14:paraId="1E8E9192" w14:textId="77777777" w:rsidTr="00D20CA1">
        <w:tc>
          <w:tcPr>
            <w:tcW w:w="2694" w:type="dxa"/>
          </w:tcPr>
          <w:p w14:paraId="00E38A07" w14:textId="11387732" w:rsidR="00D122D7" w:rsidRPr="005B0AD6" w:rsidRDefault="00F258DD" w:rsidP="00DB1548">
            <w:pPr>
              <w:pStyle w:val="BodyText"/>
              <w:kinsoku w:val="0"/>
              <w:overflowPunct w:val="0"/>
              <w:snapToGrid w:val="0"/>
              <w:spacing w:before="120" w:after="120" w:line="288" w:lineRule="auto"/>
              <w:ind w:left="0"/>
              <w:rPr>
                <w:rFonts w:ascii="Century Gothic" w:hAnsi="Century Gothic" w:cstheme="minorHAnsi"/>
              </w:rPr>
            </w:pPr>
            <w:r>
              <w:rPr>
                <w:rFonts w:ascii="Century Gothic" w:hAnsi="Century Gothic" w:cstheme="minorHAnsi"/>
              </w:rPr>
              <w:t xml:space="preserve">SEQOHS </w:t>
            </w:r>
            <w:r w:rsidR="00721549">
              <w:rPr>
                <w:rFonts w:ascii="Century Gothic" w:hAnsi="Century Gothic" w:cstheme="minorHAnsi"/>
              </w:rPr>
              <w:t>r</w:t>
            </w:r>
            <w:r w:rsidR="00D122D7">
              <w:rPr>
                <w:rFonts w:ascii="Century Gothic" w:hAnsi="Century Gothic" w:cstheme="minorHAnsi"/>
              </w:rPr>
              <w:t>egist</w:t>
            </w:r>
            <w:r>
              <w:rPr>
                <w:rFonts w:ascii="Century Gothic" w:hAnsi="Century Gothic" w:cstheme="minorHAnsi"/>
              </w:rPr>
              <w:t>ration</w:t>
            </w:r>
          </w:p>
        </w:tc>
        <w:tc>
          <w:tcPr>
            <w:tcW w:w="6828" w:type="dxa"/>
          </w:tcPr>
          <w:p w14:paraId="3432DE80" w14:textId="252662E3" w:rsidR="00D122D7" w:rsidRPr="005B0AD6" w:rsidRDefault="00D122D7" w:rsidP="005A627E">
            <w:pPr>
              <w:pStyle w:val="BodyText"/>
              <w:kinsoku w:val="0"/>
              <w:overflowPunct w:val="0"/>
              <w:snapToGrid w:val="0"/>
              <w:spacing w:before="60" w:after="60" w:line="288" w:lineRule="auto"/>
              <w:ind w:left="0"/>
              <w:rPr>
                <w:rFonts w:ascii="Century Gothic" w:hAnsi="Century Gothic" w:cstheme="minorHAnsi"/>
              </w:rPr>
            </w:pPr>
            <w:r w:rsidRPr="005B0AD6">
              <w:rPr>
                <w:rFonts w:ascii="Century Gothic" w:hAnsi="Century Gothic" w:cstheme="minorHAnsi"/>
              </w:rPr>
              <w:t>The</w:t>
            </w:r>
            <w:r w:rsidR="00721549">
              <w:rPr>
                <w:rFonts w:ascii="Century Gothic" w:hAnsi="Century Gothic" w:cstheme="minorHAnsi"/>
              </w:rPr>
              <w:t xml:space="preserve"> initial stage </w:t>
            </w:r>
            <w:r w:rsidR="005A627E">
              <w:rPr>
                <w:rFonts w:ascii="Century Gothic" w:hAnsi="Century Gothic" w:cstheme="minorHAnsi"/>
              </w:rPr>
              <w:t>whereby a Service registers online</w:t>
            </w:r>
            <w:r w:rsidR="00F258DD">
              <w:rPr>
                <w:rFonts w:ascii="Century Gothic" w:hAnsi="Century Gothic" w:cstheme="minorHAnsi"/>
              </w:rPr>
              <w:t xml:space="preserve"> </w:t>
            </w:r>
            <w:r w:rsidR="005A627E">
              <w:rPr>
                <w:rFonts w:ascii="Century Gothic" w:hAnsi="Century Gothic" w:cstheme="minorHAnsi"/>
              </w:rPr>
              <w:t>and commits to working towards accreditation.</w:t>
            </w:r>
          </w:p>
        </w:tc>
      </w:tr>
      <w:tr w:rsidR="005B0AD6" w:rsidRPr="005B0AD6" w14:paraId="779CEC5B" w14:textId="77777777" w:rsidTr="00D20CA1">
        <w:tc>
          <w:tcPr>
            <w:tcW w:w="2694" w:type="dxa"/>
          </w:tcPr>
          <w:p w14:paraId="03B6D604" w14:textId="6F78BB2B" w:rsidR="005B0AD6" w:rsidRPr="005B0AD6" w:rsidRDefault="00721549" w:rsidP="00DB1548">
            <w:pPr>
              <w:pStyle w:val="BodyText"/>
              <w:kinsoku w:val="0"/>
              <w:overflowPunct w:val="0"/>
              <w:snapToGrid w:val="0"/>
              <w:spacing w:before="120" w:after="120" w:line="288" w:lineRule="auto"/>
              <w:ind w:left="0"/>
              <w:rPr>
                <w:rFonts w:ascii="Century Gothic" w:hAnsi="Century Gothic" w:cstheme="minorHAnsi"/>
              </w:rPr>
            </w:pPr>
            <w:r>
              <w:rPr>
                <w:rFonts w:ascii="Century Gothic" w:hAnsi="Century Gothic" w:cstheme="minorHAnsi"/>
              </w:rPr>
              <w:t>Working towards</w:t>
            </w:r>
          </w:p>
        </w:tc>
        <w:tc>
          <w:tcPr>
            <w:tcW w:w="6828" w:type="dxa"/>
          </w:tcPr>
          <w:p w14:paraId="183D02B1" w14:textId="52D6C163" w:rsidR="005B0AD6" w:rsidRPr="005B0AD6" w:rsidRDefault="00721549" w:rsidP="00DB1548">
            <w:pPr>
              <w:pStyle w:val="BodyText"/>
              <w:kinsoku w:val="0"/>
              <w:overflowPunct w:val="0"/>
              <w:snapToGrid w:val="0"/>
              <w:spacing w:before="60" w:after="60" w:line="288" w:lineRule="auto"/>
              <w:ind w:left="0"/>
              <w:rPr>
                <w:rFonts w:ascii="Century Gothic" w:hAnsi="Century Gothic" w:cstheme="minorHAnsi"/>
              </w:rPr>
            </w:pPr>
            <w:r>
              <w:rPr>
                <w:rFonts w:ascii="Century Gothic" w:hAnsi="Century Gothic" w:cstheme="minorHAnsi"/>
              </w:rPr>
              <w:t xml:space="preserve">A Service that has </w:t>
            </w:r>
            <w:r w:rsidR="005B0AD6" w:rsidRPr="005B0AD6">
              <w:rPr>
                <w:rFonts w:ascii="Century Gothic" w:hAnsi="Century Gothic" w:cstheme="minorHAnsi"/>
              </w:rPr>
              <w:t>registered with SEQOHS</w:t>
            </w:r>
            <w:r>
              <w:rPr>
                <w:rFonts w:ascii="Century Gothic" w:hAnsi="Century Gothic" w:cstheme="minorHAnsi"/>
              </w:rPr>
              <w:t xml:space="preserve"> but is not accredited, because the Service has not yet demonstrated that the Service is meeting the standards</w:t>
            </w:r>
            <w:r w:rsidR="00F258DD">
              <w:rPr>
                <w:rFonts w:ascii="Century Gothic" w:hAnsi="Century Gothic" w:cstheme="minorHAnsi"/>
              </w:rPr>
              <w:t>.</w:t>
            </w:r>
          </w:p>
        </w:tc>
      </w:tr>
      <w:tr w:rsidR="002C0CC2" w:rsidRPr="005B0AD6" w14:paraId="58B4E466" w14:textId="77777777" w:rsidTr="00D20CA1">
        <w:tc>
          <w:tcPr>
            <w:tcW w:w="2694" w:type="dxa"/>
          </w:tcPr>
          <w:p w14:paraId="36C5BA22" w14:textId="258B554E" w:rsidR="002C0CC2" w:rsidRPr="005B0AD6" w:rsidRDefault="00721549" w:rsidP="00DB1548">
            <w:pPr>
              <w:pStyle w:val="BodyText"/>
              <w:kinsoku w:val="0"/>
              <w:overflowPunct w:val="0"/>
              <w:snapToGrid w:val="0"/>
              <w:spacing w:before="120" w:after="120" w:line="288" w:lineRule="auto"/>
              <w:ind w:left="0"/>
              <w:rPr>
                <w:rFonts w:ascii="Century Gothic" w:hAnsi="Century Gothic" w:cstheme="minorHAnsi"/>
              </w:rPr>
            </w:pPr>
            <w:r>
              <w:rPr>
                <w:rFonts w:ascii="Century Gothic" w:hAnsi="Century Gothic" w:cstheme="minorHAnsi"/>
              </w:rPr>
              <w:t>Assessment</w:t>
            </w:r>
          </w:p>
        </w:tc>
        <w:tc>
          <w:tcPr>
            <w:tcW w:w="6828" w:type="dxa"/>
          </w:tcPr>
          <w:p w14:paraId="5A826DA3" w14:textId="4FB512FF" w:rsidR="002C0CC2" w:rsidRPr="005B0AD6" w:rsidRDefault="00532F73" w:rsidP="00DB1548">
            <w:pPr>
              <w:pStyle w:val="BodyText"/>
              <w:kinsoku w:val="0"/>
              <w:overflowPunct w:val="0"/>
              <w:snapToGrid w:val="0"/>
              <w:spacing w:before="60" w:after="60" w:line="288" w:lineRule="auto"/>
              <w:ind w:left="0"/>
              <w:rPr>
                <w:rFonts w:ascii="Century Gothic" w:hAnsi="Century Gothic" w:cstheme="minorHAnsi"/>
              </w:rPr>
            </w:pPr>
            <w:r>
              <w:rPr>
                <w:rFonts w:ascii="Century Gothic" w:hAnsi="Century Gothic" w:cstheme="minorHAnsi"/>
              </w:rPr>
              <w:t xml:space="preserve">The process by which </w:t>
            </w:r>
            <w:r w:rsidR="00721549">
              <w:rPr>
                <w:rFonts w:ascii="Century Gothic" w:hAnsi="Century Gothic" w:cstheme="minorHAnsi"/>
              </w:rPr>
              <w:t xml:space="preserve">SEQOHS </w:t>
            </w:r>
            <w:r>
              <w:rPr>
                <w:rFonts w:ascii="Century Gothic" w:hAnsi="Century Gothic" w:cstheme="minorHAnsi"/>
              </w:rPr>
              <w:t>Assessors review the ev</w:t>
            </w:r>
            <w:r w:rsidR="00721549">
              <w:rPr>
                <w:rFonts w:ascii="Century Gothic" w:hAnsi="Century Gothic" w:cstheme="minorHAnsi"/>
              </w:rPr>
              <w:t>idence provided by the Service</w:t>
            </w:r>
            <w:r>
              <w:rPr>
                <w:rFonts w:ascii="Century Gothic" w:hAnsi="Century Gothic" w:cstheme="minorHAnsi"/>
              </w:rPr>
              <w:t xml:space="preserve"> to ascertain</w:t>
            </w:r>
            <w:r w:rsidR="00721549">
              <w:rPr>
                <w:rFonts w:ascii="Century Gothic" w:hAnsi="Century Gothic" w:cstheme="minorHAnsi"/>
              </w:rPr>
              <w:t xml:space="preserve"> whether or not the Service meets the current SEQOHS S</w:t>
            </w:r>
            <w:r>
              <w:rPr>
                <w:rFonts w:ascii="Century Gothic" w:hAnsi="Century Gothic" w:cstheme="minorHAnsi"/>
              </w:rPr>
              <w:t xml:space="preserve">tandards. </w:t>
            </w:r>
          </w:p>
        </w:tc>
      </w:tr>
      <w:tr w:rsidR="002C0CC2" w:rsidRPr="005B0AD6" w14:paraId="26906F8A" w14:textId="77777777" w:rsidTr="00D20CA1">
        <w:tc>
          <w:tcPr>
            <w:tcW w:w="2694" w:type="dxa"/>
          </w:tcPr>
          <w:p w14:paraId="6506A39A" w14:textId="016BBCA0" w:rsidR="002C0CC2" w:rsidRPr="005B0AD6" w:rsidRDefault="00721549" w:rsidP="00DB1548">
            <w:pPr>
              <w:pStyle w:val="BodyText"/>
              <w:kinsoku w:val="0"/>
              <w:overflowPunct w:val="0"/>
              <w:snapToGrid w:val="0"/>
              <w:spacing w:before="120" w:after="120" w:line="288" w:lineRule="auto"/>
              <w:ind w:left="0"/>
              <w:rPr>
                <w:rFonts w:ascii="Century Gothic" w:hAnsi="Century Gothic" w:cstheme="minorHAnsi"/>
              </w:rPr>
            </w:pPr>
            <w:r>
              <w:rPr>
                <w:rFonts w:ascii="Century Gothic" w:hAnsi="Century Gothic" w:cstheme="minorHAnsi"/>
              </w:rPr>
              <w:t>Accreditation</w:t>
            </w:r>
          </w:p>
        </w:tc>
        <w:tc>
          <w:tcPr>
            <w:tcW w:w="6828" w:type="dxa"/>
          </w:tcPr>
          <w:p w14:paraId="4ABF4394" w14:textId="2B35C0A1" w:rsidR="002C0CC2" w:rsidRPr="005B0AD6" w:rsidRDefault="00467DB0" w:rsidP="00DB1548">
            <w:pPr>
              <w:pStyle w:val="BodyText"/>
              <w:kinsoku w:val="0"/>
              <w:overflowPunct w:val="0"/>
              <w:snapToGrid w:val="0"/>
              <w:spacing w:before="60" w:after="60" w:line="288" w:lineRule="auto"/>
              <w:ind w:left="0"/>
              <w:rPr>
                <w:rFonts w:ascii="Century Gothic" w:hAnsi="Century Gothic" w:cstheme="minorHAnsi"/>
              </w:rPr>
            </w:pPr>
            <w:r>
              <w:rPr>
                <w:rFonts w:ascii="Century Gothic" w:hAnsi="Century Gothic" w:cstheme="minorHAnsi"/>
              </w:rPr>
              <w:t>T</w:t>
            </w:r>
            <w:r w:rsidR="002C0CC2" w:rsidRPr="005B0AD6">
              <w:rPr>
                <w:rFonts w:ascii="Century Gothic" w:hAnsi="Century Gothic" w:cstheme="minorHAnsi"/>
              </w:rPr>
              <w:t>he desired outcome of a SEQOHS assessment,</w:t>
            </w:r>
            <w:r w:rsidR="00721549">
              <w:rPr>
                <w:rFonts w:ascii="Century Gothic" w:hAnsi="Century Gothic" w:cstheme="minorHAnsi"/>
              </w:rPr>
              <w:t xml:space="preserve"> i.e. recognition of a safe, </w:t>
            </w:r>
            <w:r w:rsidR="00532F73">
              <w:rPr>
                <w:rFonts w:ascii="Century Gothic" w:hAnsi="Century Gothic" w:cstheme="minorHAnsi"/>
              </w:rPr>
              <w:t xml:space="preserve">effective and quality </w:t>
            </w:r>
            <w:r w:rsidR="002D4AA2">
              <w:rPr>
                <w:rFonts w:ascii="Century Gothic" w:hAnsi="Century Gothic" w:cstheme="minorHAnsi"/>
              </w:rPr>
              <w:t>Service</w:t>
            </w:r>
            <w:r w:rsidR="00532F73">
              <w:rPr>
                <w:rFonts w:ascii="Century Gothic" w:hAnsi="Century Gothic" w:cstheme="minorHAnsi"/>
              </w:rPr>
              <w:t>. A</w:t>
            </w:r>
            <w:r w:rsidR="002C0CC2" w:rsidRPr="005B0AD6">
              <w:rPr>
                <w:rFonts w:ascii="Century Gothic" w:hAnsi="Century Gothic" w:cstheme="minorHAnsi"/>
              </w:rPr>
              <w:t>ccreditation lasts for a period of 5 years</w:t>
            </w:r>
            <w:r w:rsidR="00532F73">
              <w:rPr>
                <w:rFonts w:ascii="Century Gothic" w:hAnsi="Century Gothic" w:cstheme="minorHAnsi"/>
              </w:rPr>
              <w:t>.</w:t>
            </w:r>
          </w:p>
        </w:tc>
      </w:tr>
      <w:tr w:rsidR="002C0CC2" w:rsidRPr="005B0AD6" w14:paraId="336B35F2" w14:textId="77777777" w:rsidTr="00D20CA1">
        <w:tc>
          <w:tcPr>
            <w:tcW w:w="2694" w:type="dxa"/>
          </w:tcPr>
          <w:p w14:paraId="23BC6FAD" w14:textId="2B7312AB" w:rsidR="002C0CC2" w:rsidRPr="005B0AD6" w:rsidRDefault="00721549" w:rsidP="00DB1548">
            <w:pPr>
              <w:pStyle w:val="BodyText"/>
              <w:kinsoku w:val="0"/>
              <w:overflowPunct w:val="0"/>
              <w:snapToGrid w:val="0"/>
              <w:spacing w:before="120" w:after="120" w:line="288" w:lineRule="auto"/>
              <w:ind w:left="0"/>
              <w:rPr>
                <w:rFonts w:ascii="Century Gothic" w:hAnsi="Century Gothic" w:cstheme="minorHAnsi"/>
              </w:rPr>
            </w:pPr>
            <w:r>
              <w:rPr>
                <w:rFonts w:ascii="Century Gothic" w:hAnsi="Century Gothic" w:cstheme="minorHAnsi"/>
              </w:rPr>
              <w:t>Reaccreditation</w:t>
            </w:r>
          </w:p>
        </w:tc>
        <w:tc>
          <w:tcPr>
            <w:tcW w:w="6828" w:type="dxa"/>
          </w:tcPr>
          <w:p w14:paraId="0F14FE44" w14:textId="68EFF0E0" w:rsidR="002C0CC2" w:rsidRPr="005B0AD6" w:rsidRDefault="00467DB0" w:rsidP="00DB1548">
            <w:pPr>
              <w:pStyle w:val="BodyText"/>
              <w:kinsoku w:val="0"/>
              <w:overflowPunct w:val="0"/>
              <w:snapToGrid w:val="0"/>
              <w:spacing w:before="60" w:after="60" w:line="288" w:lineRule="auto"/>
              <w:ind w:left="0"/>
              <w:rPr>
                <w:rFonts w:ascii="Century Gothic" w:hAnsi="Century Gothic" w:cstheme="minorHAnsi"/>
              </w:rPr>
            </w:pPr>
            <w:r>
              <w:rPr>
                <w:rFonts w:ascii="Century Gothic" w:hAnsi="Century Gothic" w:cstheme="minorHAnsi"/>
              </w:rPr>
              <w:t>T</w:t>
            </w:r>
            <w:r w:rsidR="002C0CC2" w:rsidRPr="005B0AD6">
              <w:rPr>
                <w:rFonts w:ascii="Century Gothic" w:hAnsi="Century Gothic" w:cstheme="minorHAnsi"/>
              </w:rPr>
              <w:t>he process of renewing accreditation at the end of the 5-year period.</w:t>
            </w:r>
          </w:p>
        </w:tc>
      </w:tr>
      <w:tr w:rsidR="002C0CC2" w:rsidRPr="005B0AD6" w14:paraId="01F02E56" w14:textId="77777777" w:rsidTr="00D20CA1">
        <w:tc>
          <w:tcPr>
            <w:tcW w:w="2694" w:type="dxa"/>
          </w:tcPr>
          <w:p w14:paraId="33014414" w14:textId="2D91085E" w:rsidR="002C0CC2" w:rsidRPr="005B0AD6" w:rsidRDefault="00721549" w:rsidP="00DB1548">
            <w:pPr>
              <w:pStyle w:val="BodyText"/>
              <w:kinsoku w:val="0"/>
              <w:overflowPunct w:val="0"/>
              <w:snapToGrid w:val="0"/>
              <w:spacing w:before="120" w:after="120" w:line="288" w:lineRule="auto"/>
              <w:ind w:left="0"/>
              <w:rPr>
                <w:rFonts w:ascii="Century Gothic" w:hAnsi="Century Gothic" w:cstheme="minorHAnsi"/>
              </w:rPr>
            </w:pPr>
            <w:r>
              <w:rPr>
                <w:rFonts w:ascii="Century Gothic" w:hAnsi="Century Gothic" w:cstheme="minorHAnsi"/>
              </w:rPr>
              <w:t>Deferral</w:t>
            </w:r>
          </w:p>
        </w:tc>
        <w:tc>
          <w:tcPr>
            <w:tcW w:w="6828" w:type="dxa"/>
          </w:tcPr>
          <w:p w14:paraId="529D91D3" w14:textId="101F9E2C" w:rsidR="002C0CC2" w:rsidRPr="005B0AD6" w:rsidRDefault="00467DB0" w:rsidP="00DB1548">
            <w:pPr>
              <w:pStyle w:val="BodyText"/>
              <w:kinsoku w:val="0"/>
              <w:overflowPunct w:val="0"/>
              <w:snapToGrid w:val="0"/>
              <w:spacing w:before="60" w:after="60" w:line="288" w:lineRule="auto"/>
              <w:ind w:left="0"/>
              <w:rPr>
                <w:rFonts w:ascii="Century Gothic" w:hAnsi="Century Gothic" w:cstheme="minorHAnsi"/>
              </w:rPr>
            </w:pPr>
            <w:r>
              <w:rPr>
                <w:rFonts w:ascii="Century Gothic" w:hAnsi="Century Gothic" w:cstheme="minorHAnsi"/>
              </w:rPr>
              <w:t>T</w:t>
            </w:r>
            <w:r w:rsidR="002C0CC2" w:rsidRPr="005B0AD6">
              <w:rPr>
                <w:rFonts w:ascii="Century Gothic" w:hAnsi="Century Gothic" w:cstheme="minorHAnsi"/>
              </w:rPr>
              <w:t>he additio</w:t>
            </w:r>
            <w:r w:rsidR="00721549">
              <w:rPr>
                <w:rFonts w:ascii="Century Gothic" w:hAnsi="Century Gothic" w:cstheme="minorHAnsi"/>
              </w:rPr>
              <w:t>nal time allowed for the Service</w:t>
            </w:r>
            <w:r w:rsidR="002C0CC2" w:rsidRPr="005B0AD6">
              <w:rPr>
                <w:rFonts w:ascii="Century Gothic" w:hAnsi="Century Gothic" w:cstheme="minorHAnsi"/>
              </w:rPr>
              <w:t xml:space="preserve"> to provide </w:t>
            </w:r>
            <w:r w:rsidR="00721549">
              <w:rPr>
                <w:rFonts w:ascii="Century Gothic" w:hAnsi="Century Gothic" w:cstheme="minorHAnsi"/>
              </w:rPr>
              <w:t xml:space="preserve">additional </w:t>
            </w:r>
            <w:r w:rsidR="002C0CC2" w:rsidRPr="005B0AD6">
              <w:rPr>
                <w:rFonts w:ascii="Century Gothic" w:hAnsi="Century Gothic" w:cstheme="minorHAnsi"/>
              </w:rPr>
              <w:t xml:space="preserve">evidence </w:t>
            </w:r>
            <w:r w:rsidR="00721549">
              <w:rPr>
                <w:rFonts w:ascii="Century Gothic" w:hAnsi="Century Gothic" w:cstheme="minorHAnsi"/>
              </w:rPr>
              <w:t xml:space="preserve">to show that </w:t>
            </w:r>
            <w:r w:rsidR="00F811E4">
              <w:rPr>
                <w:rFonts w:ascii="Century Gothic" w:hAnsi="Century Gothic" w:cstheme="minorHAnsi"/>
              </w:rPr>
              <w:t xml:space="preserve">current </w:t>
            </w:r>
            <w:r w:rsidR="00721549">
              <w:rPr>
                <w:rFonts w:ascii="Century Gothic" w:hAnsi="Century Gothic" w:cstheme="minorHAnsi"/>
              </w:rPr>
              <w:t>SEQOHS Standards have been met</w:t>
            </w:r>
            <w:r w:rsidR="002C0CC2" w:rsidRPr="005B0AD6">
              <w:rPr>
                <w:rFonts w:ascii="Century Gothic" w:hAnsi="Century Gothic" w:cstheme="minorHAnsi"/>
              </w:rPr>
              <w:t>.</w:t>
            </w:r>
          </w:p>
        </w:tc>
      </w:tr>
    </w:tbl>
    <w:p w14:paraId="6F02EAD4" w14:textId="759FB78C" w:rsidR="002C0CC2" w:rsidRDefault="009427D4" w:rsidP="005C15AC">
      <w:pPr>
        <w:pStyle w:val="Heading1"/>
      </w:pPr>
      <w:r>
        <w:t>Registration</w:t>
      </w:r>
    </w:p>
    <w:p w14:paraId="0F68075F" w14:textId="0B45CD1F" w:rsidR="005B0AD6" w:rsidRPr="005B0AD6" w:rsidRDefault="009427D4" w:rsidP="004C535B">
      <w:pPr>
        <w:spacing w:before="120" w:line="288" w:lineRule="auto"/>
        <w:jc w:val="both"/>
        <w:rPr>
          <w:rFonts w:ascii="Century Gothic" w:hAnsi="Century Gothic" w:cstheme="minorHAnsi"/>
          <w:bCs/>
          <w:color w:val="000000" w:themeColor="text1"/>
          <w:sz w:val="22"/>
          <w:lang w:val="en-US"/>
        </w:rPr>
      </w:pPr>
      <w:r>
        <w:rPr>
          <w:rFonts w:ascii="Century Gothic" w:hAnsi="Century Gothic" w:cstheme="minorHAnsi"/>
          <w:bCs/>
          <w:color w:val="000000" w:themeColor="text1"/>
          <w:sz w:val="22"/>
          <w:lang w:val="en-US"/>
        </w:rPr>
        <w:t>The completion of the SEQOHS online registrat</w:t>
      </w:r>
      <w:r w:rsidR="00845C7A">
        <w:rPr>
          <w:rFonts w:ascii="Century Gothic" w:hAnsi="Century Gothic" w:cstheme="minorHAnsi"/>
          <w:bCs/>
          <w:color w:val="000000" w:themeColor="text1"/>
          <w:sz w:val="22"/>
          <w:lang w:val="en-US"/>
        </w:rPr>
        <w:t xml:space="preserve">ion form </w:t>
      </w:r>
      <w:r>
        <w:rPr>
          <w:rFonts w:ascii="Century Gothic" w:hAnsi="Century Gothic" w:cstheme="minorHAnsi"/>
          <w:bCs/>
          <w:color w:val="000000" w:themeColor="text1"/>
          <w:sz w:val="22"/>
          <w:lang w:val="en-US"/>
        </w:rPr>
        <w:t xml:space="preserve">by the Service and payment of the SEQOHS </w:t>
      </w:r>
      <w:r w:rsidR="00D90695">
        <w:rPr>
          <w:rFonts w:ascii="Century Gothic" w:hAnsi="Century Gothic" w:cstheme="minorHAnsi"/>
          <w:bCs/>
          <w:color w:val="000000" w:themeColor="text1"/>
          <w:sz w:val="22"/>
          <w:lang w:val="en-US"/>
        </w:rPr>
        <w:t>Stage 1</w:t>
      </w:r>
      <w:r>
        <w:rPr>
          <w:rFonts w:ascii="Century Gothic" w:hAnsi="Century Gothic" w:cstheme="minorHAnsi"/>
          <w:bCs/>
          <w:color w:val="000000" w:themeColor="text1"/>
          <w:sz w:val="22"/>
          <w:lang w:val="en-US"/>
        </w:rPr>
        <w:t xml:space="preserve"> fee are required.  By completing the SEQOHS </w:t>
      </w:r>
      <w:r w:rsidR="00845C7A">
        <w:rPr>
          <w:rFonts w:ascii="Century Gothic" w:hAnsi="Century Gothic" w:cstheme="minorHAnsi"/>
          <w:bCs/>
          <w:color w:val="000000" w:themeColor="text1"/>
          <w:sz w:val="22"/>
          <w:lang w:val="en-US"/>
        </w:rPr>
        <w:t>r</w:t>
      </w:r>
      <w:r>
        <w:rPr>
          <w:rFonts w:ascii="Century Gothic" w:hAnsi="Century Gothic" w:cstheme="minorHAnsi"/>
          <w:bCs/>
          <w:color w:val="000000" w:themeColor="text1"/>
          <w:sz w:val="22"/>
          <w:lang w:val="en-US"/>
        </w:rPr>
        <w:t xml:space="preserve">egistration </w:t>
      </w:r>
      <w:r w:rsidR="00845C7A">
        <w:rPr>
          <w:rFonts w:ascii="Century Gothic" w:hAnsi="Century Gothic" w:cstheme="minorHAnsi"/>
          <w:bCs/>
          <w:color w:val="000000" w:themeColor="text1"/>
          <w:sz w:val="22"/>
          <w:lang w:val="en-US"/>
        </w:rPr>
        <w:t>f</w:t>
      </w:r>
      <w:r>
        <w:rPr>
          <w:rFonts w:ascii="Century Gothic" w:hAnsi="Century Gothic" w:cstheme="minorHAnsi"/>
          <w:bCs/>
          <w:color w:val="000000" w:themeColor="text1"/>
          <w:sz w:val="22"/>
          <w:lang w:val="en-US"/>
        </w:rPr>
        <w:t xml:space="preserve">orm and paying the </w:t>
      </w:r>
      <w:r w:rsidR="00D30665">
        <w:rPr>
          <w:rFonts w:ascii="Century Gothic" w:hAnsi="Century Gothic" w:cstheme="minorHAnsi"/>
          <w:bCs/>
          <w:color w:val="000000" w:themeColor="text1"/>
          <w:sz w:val="22"/>
          <w:lang w:val="en-US"/>
        </w:rPr>
        <w:t>Stage 1 fee</w:t>
      </w:r>
      <w:r>
        <w:rPr>
          <w:rFonts w:ascii="Century Gothic" w:hAnsi="Century Gothic" w:cstheme="minorHAnsi"/>
          <w:bCs/>
          <w:color w:val="000000" w:themeColor="text1"/>
          <w:sz w:val="22"/>
          <w:lang w:val="en-US"/>
        </w:rPr>
        <w:t xml:space="preserve">, the Service agrees to </w:t>
      </w:r>
      <w:proofErr w:type="gramStart"/>
      <w:r w:rsidR="003C5B69">
        <w:rPr>
          <w:rFonts w:ascii="Century Gothic" w:hAnsi="Century Gothic" w:cstheme="minorHAnsi"/>
          <w:bCs/>
          <w:color w:val="000000" w:themeColor="text1"/>
          <w:sz w:val="22"/>
          <w:lang w:val="en-US"/>
        </w:rPr>
        <w:t xml:space="preserve">SEQOHS </w:t>
      </w:r>
      <w:r>
        <w:rPr>
          <w:rFonts w:ascii="Century Gothic" w:hAnsi="Century Gothic" w:cstheme="minorHAnsi"/>
          <w:bCs/>
          <w:color w:val="000000" w:themeColor="text1"/>
          <w:sz w:val="22"/>
          <w:lang w:val="en-US"/>
        </w:rPr>
        <w:t xml:space="preserve"> Terms</w:t>
      </w:r>
      <w:proofErr w:type="gramEnd"/>
      <w:r>
        <w:rPr>
          <w:rFonts w:ascii="Century Gothic" w:hAnsi="Century Gothic" w:cstheme="minorHAnsi"/>
          <w:bCs/>
          <w:color w:val="000000" w:themeColor="text1"/>
          <w:sz w:val="22"/>
          <w:lang w:val="en-US"/>
        </w:rPr>
        <w:t xml:space="preserve"> and Conditions and agrees to actively work towards accreditation. </w:t>
      </w:r>
    </w:p>
    <w:p w14:paraId="4432F0E4" w14:textId="51F1E01C" w:rsidR="00AA5E97" w:rsidRPr="007025DB" w:rsidRDefault="00CE1411" w:rsidP="005C15AC">
      <w:pPr>
        <w:pStyle w:val="Heading1"/>
      </w:pPr>
      <w:r>
        <w:lastRenderedPageBreak/>
        <w:t>Fees</w:t>
      </w:r>
    </w:p>
    <w:p w14:paraId="7A6A38E9" w14:textId="74394CBA" w:rsidR="003C6C0D" w:rsidRPr="005B0AD6" w:rsidRDefault="003C6C0D" w:rsidP="005C15AC">
      <w:pPr>
        <w:spacing w:before="120" w:line="288" w:lineRule="auto"/>
        <w:rPr>
          <w:rFonts w:ascii="Century Gothic" w:hAnsi="Century Gothic"/>
          <w:sz w:val="22"/>
          <w:szCs w:val="22"/>
        </w:rPr>
      </w:pPr>
      <w:r>
        <w:rPr>
          <w:rFonts w:ascii="Century Gothic" w:hAnsi="Century Gothic"/>
          <w:sz w:val="22"/>
          <w:szCs w:val="22"/>
        </w:rPr>
        <w:t xml:space="preserve">The Service </w:t>
      </w:r>
      <w:r w:rsidR="00CE1411" w:rsidRPr="005B0AD6">
        <w:rPr>
          <w:rFonts w:ascii="Century Gothic" w:hAnsi="Century Gothic"/>
          <w:sz w:val="22"/>
          <w:szCs w:val="22"/>
        </w:rPr>
        <w:t xml:space="preserve">undertakes to </w:t>
      </w:r>
      <w:r>
        <w:rPr>
          <w:rFonts w:ascii="Century Gothic" w:hAnsi="Century Gothic"/>
          <w:sz w:val="22"/>
          <w:szCs w:val="22"/>
        </w:rPr>
        <w:t>pay the</w:t>
      </w:r>
      <w:r w:rsidR="00660031" w:rsidRPr="005B0AD6">
        <w:rPr>
          <w:rFonts w:ascii="Century Gothic" w:hAnsi="Century Gothic"/>
          <w:sz w:val="22"/>
          <w:szCs w:val="22"/>
        </w:rPr>
        <w:t xml:space="preserve"> </w:t>
      </w:r>
      <w:r w:rsidR="003C5B69">
        <w:rPr>
          <w:rFonts w:ascii="Century Gothic" w:hAnsi="Century Gothic"/>
          <w:sz w:val="22"/>
          <w:szCs w:val="22"/>
        </w:rPr>
        <w:t>annual</w:t>
      </w:r>
      <w:r>
        <w:rPr>
          <w:rFonts w:ascii="Century Gothic" w:hAnsi="Century Gothic"/>
          <w:sz w:val="22"/>
          <w:szCs w:val="22"/>
        </w:rPr>
        <w:t xml:space="preserve"> fees which are listed on the SEQOHS website at </w:t>
      </w:r>
      <w:hyperlink r:id="rId11" w:history="1">
        <w:r w:rsidRPr="000634F5">
          <w:rPr>
            <w:rStyle w:val="Hyperlink"/>
            <w:rFonts w:ascii="Century Gothic" w:hAnsi="Century Gothic"/>
            <w:sz w:val="22"/>
            <w:szCs w:val="22"/>
          </w:rPr>
          <w:t>www.seqohs.org</w:t>
        </w:r>
      </w:hyperlink>
    </w:p>
    <w:p w14:paraId="3DD2EF8A" w14:textId="1159AF74" w:rsidR="00660031" w:rsidRPr="005C15AC" w:rsidRDefault="0051697F" w:rsidP="005C15AC">
      <w:pPr>
        <w:pStyle w:val="Heading1"/>
      </w:pPr>
      <w:r w:rsidRPr="005C15AC">
        <w:t>Stage 1</w:t>
      </w:r>
    </w:p>
    <w:p w14:paraId="226B8460" w14:textId="4B65BFAE" w:rsidR="000327F4" w:rsidRDefault="000327F4"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Following registration, the Service</w:t>
      </w:r>
      <w:r w:rsidR="0051697F">
        <w:rPr>
          <w:rFonts w:ascii="Century Gothic" w:hAnsi="Century Gothic" w:cstheme="minorHAnsi"/>
          <w:bCs/>
          <w:color w:val="000000" w:themeColor="text1"/>
          <w:sz w:val="22"/>
          <w:szCs w:val="22"/>
          <w:lang w:val="en-US"/>
        </w:rPr>
        <w:t xml:space="preserve"> reviews the </w:t>
      </w:r>
      <w:r w:rsidR="00414363">
        <w:rPr>
          <w:rFonts w:ascii="Century Gothic" w:hAnsi="Century Gothic" w:cstheme="minorHAnsi"/>
          <w:bCs/>
          <w:color w:val="000000" w:themeColor="text1"/>
          <w:sz w:val="22"/>
          <w:szCs w:val="22"/>
          <w:lang w:val="en-US"/>
        </w:rPr>
        <w:t xml:space="preserve">SEQOHS </w:t>
      </w:r>
      <w:r w:rsidR="0051697F">
        <w:rPr>
          <w:rFonts w:ascii="Century Gothic" w:hAnsi="Century Gothic" w:cstheme="minorHAnsi"/>
          <w:bCs/>
          <w:color w:val="000000" w:themeColor="text1"/>
          <w:sz w:val="22"/>
          <w:szCs w:val="22"/>
          <w:lang w:val="en-US"/>
        </w:rPr>
        <w:t xml:space="preserve">Standards, </w:t>
      </w:r>
      <w:r w:rsidR="00896428">
        <w:rPr>
          <w:rFonts w:ascii="Century Gothic" w:hAnsi="Century Gothic" w:cstheme="minorHAnsi"/>
          <w:bCs/>
          <w:color w:val="000000" w:themeColor="text1"/>
          <w:sz w:val="22"/>
          <w:szCs w:val="22"/>
          <w:lang w:val="en-US"/>
        </w:rPr>
        <w:t xml:space="preserve">completes an action </w:t>
      </w:r>
      <w:proofErr w:type="gramStart"/>
      <w:r w:rsidR="00896428">
        <w:rPr>
          <w:rFonts w:ascii="Century Gothic" w:hAnsi="Century Gothic" w:cstheme="minorHAnsi"/>
          <w:bCs/>
          <w:color w:val="000000" w:themeColor="text1"/>
          <w:sz w:val="22"/>
          <w:szCs w:val="22"/>
          <w:lang w:val="en-US"/>
        </w:rPr>
        <w:t xml:space="preserve">plan,  </w:t>
      </w:r>
      <w:r w:rsidR="0051697F">
        <w:rPr>
          <w:rFonts w:ascii="Century Gothic" w:hAnsi="Century Gothic" w:cstheme="minorHAnsi"/>
          <w:bCs/>
          <w:color w:val="000000" w:themeColor="text1"/>
          <w:sz w:val="22"/>
          <w:szCs w:val="22"/>
          <w:lang w:val="en-US"/>
        </w:rPr>
        <w:t>undertakes</w:t>
      </w:r>
      <w:proofErr w:type="gramEnd"/>
      <w:r w:rsidR="0051697F">
        <w:rPr>
          <w:rFonts w:ascii="Century Gothic" w:hAnsi="Century Gothic" w:cstheme="minorHAnsi"/>
          <w:bCs/>
          <w:color w:val="000000" w:themeColor="text1"/>
          <w:sz w:val="22"/>
          <w:szCs w:val="22"/>
          <w:lang w:val="en-US"/>
        </w:rPr>
        <w:t xml:space="preserve"> </w:t>
      </w:r>
      <w:r>
        <w:rPr>
          <w:rFonts w:ascii="Century Gothic" w:hAnsi="Century Gothic" w:cstheme="minorHAnsi"/>
          <w:bCs/>
          <w:color w:val="000000" w:themeColor="text1"/>
          <w:sz w:val="22"/>
          <w:szCs w:val="22"/>
          <w:lang w:val="en-US"/>
        </w:rPr>
        <w:t xml:space="preserve">any </w:t>
      </w:r>
      <w:r w:rsidR="0051697F">
        <w:rPr>
          <w:rFonts w:ascii="Century Gothic" w:hAnsi="Century Gothic" w:cstheme="minorHAnsi"/>
          <w:bCs/>
          <w:color w:val="000000" w:themeColor="text1"/>
          <w:sz w:val="22"/>
          <w:szCs w:val="22"/>
          <w:lang w:val="en-US"/>
        </w:rPr>
        <w:t xml:space="preserve">quality </w:t>
      </w:r>
      <w:r>
        <w:rPr>
          <w:rFonts w:ascii="Century Gothic" w:hAnsi="Century Gothic" w:cstheme="minorHAnsi"/>
          <w:bCs/>
          <w:color w:val="000000" w:themeColor="text1"/>
          <w:sz w:val="22"/>
          <w:szCs w:val="22"/>
          <w:lang w:val="en-US"/>
        </w:rPr>
        <w:t>improve</w:t>
      </w:r>
      <w:r w:rsidR="0051697F">
        <w:rPr>
          <w:rFonts w:ascii="Century Gothic" w:hAnsi="Century Gothic" w:cstheme="minorHAnsi"/>
          <w:bCs/>
          <w:color w:val="000000" w:themeColor="text1"/>
          <w:sz w:val="22"/>
          <w:szCs w:val="22"/>
          <w:lang w:val="en-US"/>
        </w:rPr>
        <w:t>ment</w:t>
      </w:r>
      <w:r w:rsidR="00414363">
        <w:rPr>
          <w:rFonts w:ascii="Century Gothic" w:hAnsi="Century Gothic" w:cstheme="minorHAnsi"/>
          <w:bCs/>
          <w:color w:val="000000" w:themeColor="text1"/>
          <w:sz w:val="22"/>
          <w:szCs w:val="22"/>
          <w:lang w:val="en-US"/>
        </w:rPr>
        <w:t xml:space="preserve"> needed</w:t>
      </w:r>
      <w:r w:rsidR="0051697F">
        <w:rPr>
          <w:rFonts w:ascii="Century Gothic" w:hAnsi="Century Gothic" w:cstheme="minorHAnsi"/>
          <w:bCs/>
          <w:color w:val="000000" w:themeColor="text1"/>
          <w:sz w:val="22"/>
          <w:szCs w:val="22"/>
          <w:lang w:val="en-US"/>
        </w:rPr>
        <w:t xml:space="preserve">, </w:t>
      </w:r>
      <w:r>
        <w:rPr>
          <w:rFonts w:ascii="Century Gothic" w:hAnsi="Century Gothic" w:cstheme="minorHAnsi"/>
          <w:bCs/>
          <w:color w:val="000000" w:themeColor="text1"/>
          <w:sz w:val="22"/>
          <w:szCs w:val="22"/>
          <w:lang w:val="en-US"/>
        </w:rPr>
        <w:t>and u</w:t>
      </w:r>
      <w:r w:rsidR="005C7C4D">
        <w:rPr>
          <w:rFonts w:ascii="Century Gothic" w:hAnsi="Century Gothic" w:cstheme="minorHAnsi"/>
          <w:bCs/>
          <w:color w:val="000000" w:themeColor="text1"/>
          <w:sz w:val="22"/>
          <w:szCs w:val="22"/>
          <w:lang w:val="en-US"/>
        </w:rPr>
        <w:t xml:space="preserve">ploads evidence to the SEQOHS webtool </w:t>
      </w:r>
      <w:r>
        <w:rPr>
          <w:rFonts w:ascii="Century Gothic" w:hAnsi="Century Gothic" w:cstheme="minorHAnsi"/>
          <w:bCs/>
          <w:color w:val="000000" w:themeColor="text1"/>
          <w:sz w:val="22"/>
          <w:szCs w:val="22"/>
          <w:lang w:val="en-US"/>
        </w:rPr>
        <w:t>prior to signing off their self assessment. This stage is referred to as Stage 1.</w:t>
      </w:r>
    </w:p>
    <w:p w14:paraId="22B09220" w14:textId="714763E0" w:rsidR="000327F4" w:rsidRDefault="0051697F"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The Stage 1 fee is payable</w:t>
      </w:r>
      <w:r w:rsidR="004E7342">
        <w:rPr>
          <w:rFonts w:ascii="Century Gothic" w:hAnsi="Century Gothic" w:cstheme="minorHAnsi"/>
          <w:bCs/>
          <w:color w:val="000000" w:themeColor="text1"/>
          <w:sz w:val="22"/>
          <w:szCs w:val="22"/>
          <w:lang w:val="en-US"/>
        </w:rPr>
        <w:t xml:space="preserve"> annually from the point of registration</w:t>
      </w:r>
      <w:r w:rsidR="00FE5598">
        <w:rPr>
          <w:rFonts w:ascii="Century Gothic" w:hAnsi="Century Gothic" w:cstheme="minorHAnsi"/>
          <w:bCs/>
          <w:color w:val="000000" w:themeColor="text1"/>
          <w:sz w:val="22"/>
          <w:szCs w:val="22"/>
          <w:lang w:val="en-US"/>
        </w:rPr>
        <w:t xml:space="preserve"> </w:t>
      </w:r>
      <w:r w:rsidR="003F0899">
        <w:rPr>
          <w:rFonts w:ascii="Century Gothic" w:hAnsi="Century Gothic" w:cstheme="minorHAnsi"/>
          <w:bCs/>
          <w:color w:val="000000" w:themeColor="text1"/>
          <w:sz w:val="22"/>
          <w:szCs w:val="22"/>
          <w:lang w:val="en-US"/>
        </w:rPr>
        <w:t>until the Service moves to Stage 2</w:t>
      </w:r>
      <w:r w:rsidR="000327F4">
        <w:rPr>
          <w:rFonts w:ascii="Century Gothic" w:hAnsi="Century Gothic" w:cstheme="minorHAnsi"/>
          <w:bCs/>
          <w:color w:val="000000" w:themeColor="text1"/>
          <w:sz w:val="22"/>
          <w:szCs w:val="22"/>
          <w:lang w:val="en-US"/>
        </w:rPr>
        <w:t>.</w:t>
      </w:r>
    </w:p>
    <w:p w14:paraId="03A0B4FB" w14:textId="34C9B878" w:rsidR="00660031" w:rsidRPr="005C15AC" w:rsidRDefault="000327F4" w:rsidP="005C15AC">
      <w:pPr>
        <w:pStyle w:val="Heading1"/>
      </w:pPr>
      <w:r w:rsidRPr="005C15AC">
        <w:t>Stage 2</w:t>
      </w:r>
      <w:r w:rsidR="00C3797F" w:rsidRPr="005C15AC">
        <w:t xml:space="preserve"> </w:t>
      </w:r>
    </w:p>
    <w:p w14:paraId="38ACA03A" w14:textId="4C7DBEC9" w:rsidR="00C3797F" w:rsidRDefault="00C3797F"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 xml:space="preserve">Following the sign-off of the self assessment, the </w:t>
      </w:r>
      <w:r w:rsidR="00FE5598">
        <w:rPr>
          <w:rFonts w:ascii="Century Gothic" w:hAnsi="Century Gothic" w:cstheme="minorHAnsi"/>
          <w:bCs/>
          <w:color w:val="000000" w:themeColor="text1"/>
          <w:sz w:val="22"/>
          <w:szCs w:val="22"/>
          <w:lang w:val="en-US"/>
        </w:rPr>
        <w:t>SEQOHS</w:t>
      </w:r>
      <w:r>
        <w:rPr>
          <w:rFonts w:ascii="Century Gothic" w:hAnsi="Century Gothic" w:cstheme="minorHAnsi"/>
          <w:bCs/>
          <w:color w:val="000000" w:themeColor="text1"/>
          <w:sz w:val="22"/>
          <w:szCs w:val="22"/>
          <w:lang w:val="en-US"/>
        </w:rPr>
        <w:t xml:space="preserve"> assessment process begins, starting with a readiness check, allocation of </w:t>
      </w:r>
      <w:r w:rsidR="00A84123">
        <w:rPr>
          <w:rFonts w:ascii="Century Gothic" w:hAnsi="Century Gothic" w:cstheme="minorHAnsi"/>
          <w:bCs/>
          <w:color w:val="000000" w:themeColor="text1"/>
          <w:sz w:val="22"/>
          <w:szCs w:val="22"/>
          <w:lang w:val="en-US"/>
        </w:rPr>
        <w:t xml:space="preserve">SEQOHS </w:t>
      </w:r>
      <w:r>
        <w:rPr>
          <w:rFonts w:ascii="Century Gothic" w:hAnsi="Century Gothic" w:cstheme="minorHAnsi"/>
          <w:bCs/>
          <w:color w:val="000000" w:themeColor="text1"/>
          <w:sz w:val="22"/>
          <w:szCs w:val="22"/>
          <w:lang w:val="en-US"/>
        </w:rPr>
        <w:t>Assessors and arrangements for the a</w:t>
      </w:r>
      <w:r w:rsidR="00A84123">
        <w:rPr>
          <w:rFonts w:ascii="Century Gothic" w:hAnsi="Century Gothic" w:cstheme="minorHAnsi"/>
          <w:bCs/>
          <w:color w:val="000000" w:themeColor="text1"/>
          <w:sz w:val="22"/>
          <w:szCs w:val="22"/>
          <w:lang w:val="en-US"/>
        </w:rPr>
        <w:t xml:space="preserve">ccreditation e-visit. </w:t>
      </w:r>
      <w:r>
        <w:rPr>
          <w:rFonts w:ascii="Century Gothic" w:hAnsi="Century Gothic" w:cstheme="minorHAnsi"/>
          <w:bCs/>
          <w:color w:val="000000" w:themeColor="text1"/>
          <w:sz w:val="22"/>
          <w:szCs w:val="22"/>
          <w:lang w:val="en-US"/>
        </w:rPr>
        <w:t xml:space="preserve"> </w:t>
      </w:r>
    </w:p>
    <w:p w14:paraId="2AAD1B88" w14:textId="6EAC8C5A" w:rsidR="00C3797F" w:rsidRDefault="00C3797F"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The Stage 2 fee is payable on sign-off of the self</w:t>
      </w:r>
      <w:r w:rsidR="00C72A1C">
        <w:rPr>
          <w:rFonts w:ascii="Century Gothic" w:hAnsi="Century Gothic" w:cstheme="minorHAnsi"/>
          <w:bCs/>
          <w:color w:val="000000" w:themeColor="text1"/>
          <w:sz w:val="22"/>
          <w:szCs w:val="22"/>
          <w:lang w:val="en-US"/>
        </w:rPr>
        <w:t>-</w:t>
      </w:r>
      <w:r>
        <w:rPr>
          <w:rFonts w:ascii="Century Gothic" w:hAnsi="Century Gothic" w:cstheme="minorHAnsi"/>
          <w:bCs/>
          <w:color w:val="000000" w:themeColor="text1"/>
          <w:sz w:val="22"/>
          <w:szCs w:val="22"/>
          <w:lang w:val="en-US"/>
        </w:rPr>
        <w:t xml:space="preserve">assessment.  A pro rata fee is calculated for the </w:t>
      </w:r>
      <w:r w:rsidR="00261C43">
        <w:rPr>
          <w:rFonts w:ascii="Century Gothic" w:hAnsi="Century Gothic" w:cstheme="minorHAnsi"/>
          <w:bCs/>
          <w:color w:val="000000" w:themeColor="text1"/>
          <w:sz w:val="22"/>
          <w:szCs w:val="22"/>
          <w:lang w:val="en-US"/>
        </w:rPr>
        <w:t xml:space="preserve">current </w:t>
      </w:r>
      <w:r>
        <w:rPr>
          <w:rFonts w:ascii="Century Gothic" w:hAnsi="Century Gothic" w:cstheme="minorHAnsi"/>
          <w:bCs/>
          <w:color w:val="000000" w:themeColor="text1"/>
          <w:sz w:val="22"/>
          <w:szCs w:val="22"/>
          <w:lang w:val="en-US"/>
        </w:rPr>
        <w:t>year to take into consideration Stage 1 fees already paid.</w:t>
      </w:r>
    </w:p>
    <w:p w14:paraId="7817C4C3" w14:textId="0A3A87E4" w:rsidR="008F2790" w:rsidRPr="008F2790" w:rsidRDefault="0056724B"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 xml:space="preserve">Once accredited, the Service will be required to have an </w:t>
      </w:r>
      <w:r w:rsidR="000D6739">
        <w:rPr>
          <w:rFonts w:ascii="Century Gothic" w:hAnsi="Century Gothic" w:cstheme="minorHAnsi"/>
          <w:bCs/>
          <w:color w:val="000000" w:themeColor="text1"/>
          <w:sz w:val="22"/>
          <w:szCs w:val="22"/>
          <w:lang w:val="en-US"/>
        </w:rPr>
        <w:t>a</w:t>
      </w:r>
      <w:r>
        <w:rPr>
          <w:rFonts w:ascii="Century Gothic" w:hAnsi="Century Gothic" w:cstheme="minorHAnsi"/>
          <w:bCs/>
          <w:color w:val="000000" w:themeColor="text1"/>
          <w:sz w:val="22"/>
          <w:szCs w:val="22"/>
          <w:lang w:val="en-US"/>
        </w:rPr>
        <w:t xml:space="preserve">nnual </w:t>
      </w:r>
      <w:r w:rsidR="000D6739">
        <w:rPr>
          <w:rFonts w:ascii="Century Gothic" w:hAnsi="Century Gothic" w:cstheme="minorHAnsi"/>
          <w:bCs/>
          <w:color w:val="000000" w:themeColor="text1"/>
          <w:sz w:val="22"/>
          <w:szCs w:val="22"/>
          <w:lang w:val="en-US"/>
        </w:rPr>
        <w:t>r</w:t>
      </w:r>
      <w:r>
        <w:rPr>
          <w:rFonts w:ascii="Century Gothic" w:hAnsi="Century Gothic" w:cstheme="minorHAnsi"/>
          <w:bCs/>
          <w:color w:val="000000" w:themeColor="text1"/>
          <w:sz w:val="22"/>
          <w:szCs w:val="22"/>
          <w:lang w:val="en-US"/>
        </w:rPr>
        <w:t>evie</w:t>
      </w:r>
      <w:r w:rsidR="000D6739">
        <w:rPr>
          <w:rFonts w:ascii="Century Gothic" w:hAnsi="Century Gothic" w:cstheme="minorHAnsi"/>
          <w:bCs/>
          <w:color w:val="000000" w:themeColor="text1"/>
          <w:sz w:val="22"/>
          <w:szCs w:val="22"/>
          <w:lang w:val="en-US"/>
        </w:rPr>
        <w:t>w</w:t>
      </w:r>
      <w:r w:rsidR="004B52A0">
        <w:rPr>
          <w:rFonts w:ascii="Century Gothic" w:hAnsi="Century Gothic" w:cstheme="minorHAnsi"/>
          <w:bCs/>
          <w:color w:val="000000" w:themeColor="text1"/>
          <w:sz w:val="22"/>
          <w:szCs w:val="22"/>
          <w:lang w:val="en-US"/>
        </w:rPr>
        <w:t xml:space="preserve">. The cost </w:t>
      </w:r>
      <w:proofErr w:type="gramStart"/>
      <w:r w:rsidR="004B52A0">
        <w:rPr>
          <w:rFonts w:ascii="Century Gothic" w:hAnsi="Century Gothic" w:cstheme="minorHAnsi"/>
          <w:bCs/>
          <w:color w:val="000000" w:themeColor="text1"/>
          <w:sz w:val="22"/>
          <w:szCs w:val="22"/>
          <w:lang w:val="en-US"/>
        </w:rPr>
        <w:t>of  annual</w:t>
      </w:r>
      <w:proofErr w:type="gramEnd"/>
      <w:r w:rsidR="004B52A0">
        <w:rPr>
          <w:rFonts w:ascii="Century Gothic" w:hAnsi="Century Gothic" w:cstheme="minorHAnsi"/>
          <w:bCs/>
          <w:color w:val="000000" w:themeColor="text1"/>
          <w:sz w:val="22"/>
          <w:szCs w:val="22"/>
          <w:lang w:val="en-US"/>
        </w:rPr>
        <w:t xml:space="preserve"> review</w:t>
      </w:r>
      <w:r w:rsidR="00531E18">
        <w:rPr>
          <w:rFonts w:ascii="Century Gothic" w:hAnsi="Century Gothic" w:cstheme="minorHAnsi"/>
          <w:bCs/>
          <w:color w:val="000000" w:themeColor="text1"/>
          <w:sz w:val="22"/>
          <w:szCs w:val="22"/>
          <w:lang w:val="en-US"/>
        </w:rPr>
        <w:t xml:space="preserve">s is included in the </w:t>
      </w:r>
      <w:r w:rsidR="00F369C4">
        <w:rPr>
          <w:rFonts w:ascii="Century Gothic" w:hAnsi="Century Gothic" w:cstheme="minorHAnsi"/>
          <w:bCs/>
          <w:color w:val="000000" w:themeColor="text1"/>
          <w:sz w:val="22"/>
          <w:szCs w:val="22"/>
          <w:lang w:val="en-US"/>
        </w:rPr>
        <w:t xml:space="preserve">annual </w:t>
      </w:r>
      <w:r w:rsidR="00531E18">
        <w:rPr>
          <w:rFonts w:ascii="Century Gothic" w:hAnsi="Century Gothic" w:cstheme="minorHAnsi"/>
          <w:bCs/>
          <w:color w:val="000000" w:themeColor="text1"/>
          <w:sz w:val="22"/>
          <w:szCs w:val="22"/>
          <w:lang w:val="en-US"/>
        </w:rPr>
        <w:t>Stage 2 fee.</w:t>
      </w:r>
    </w:p>
    <w:p w14:paraId="073034F1" w14:textId="2F84998D" w:rsidR="008F2790" w:rsidRDefault="00660031" w:rsidP="004C535B">
      <w:pPr>
        <w:spacing w:before="120" w:line="288" w:lineRule="auto"/>
        <w:jc w:val="both"/>
        <w:rPr>
          <w:rFonts w:ascii="Century Gothic" w:hAnsi="Century Gothic" w:cstheme="minorHAnsi"/>
          <w:bCs/>
          <w:color w:val="000000" w:themeColor="text1"/>
          <w:sz w:val="22"/>
          <w:szCs w:val="22"/>
          <w:lang w:val="en-US"/>
        </w:rPr>
      </w:pPr>
      <w:r w:rsidRPr="008F2790">
        <w:rPr>
          <w:rFonts w:ascii="Century Gothic" w:hAnsi="Century Gothic" w:cstheme="minorHAnsi"/>
          <w:bCs/>
          <w:color w:val="000000" w:themeColor="text1"/>
          <w:sz w:val="22"/>
          <w:szCs w:val="22"/>
          <w:lang w:val="en-US"/>
        </w:rPr>
        <w:t>SEQOHS accreditat</w:t>
      </w:r>
      <w:r w:rsidR="008F2790" w:rsidRPr="008F2790">
        <w:rPr>
          <w:rFonts w:ascii="Century Gothic" w:hAnsi="Century Gothic" w:cstheme="minorHAnsi"/>
          <w:bCs/>
          <w:color w:val="000000" w:themeColor="text1"/>
          <w:sz w:val="22"/>
          <w:szCs w:val="22"/>
          <w:lang w:val="en-US"/>
        </w:rPr>
        <w:t xml:space="preserve">ion lasts for five years, </w:t>
      </w:r>
      <w:r w:rsidRPr="008F2790">
        <w:rPr>
          <w:rFonts w:ascii="Century Gothic" w:hAnsi="Century Gothic" w:cstheme="minorHAnsi"/>
          <w:bCs/>
          <w:color w:val="000000" w:themeColor="text1"/>
          <w:sz w:val="22"/>
          <w:szCs w:val="22"/>
          <w:lang w:val="en-US"/>
        </w:rPr>
        <w:t xml:space="preserve">conditional </w:t>
      </w:r>
      <w:r w:rsidR="008F2790" w:rsidRPr="008F2790">
        <w:rPr>
          <w:rFonts w:ascii="Century Gothic" w:hAnsi="Century Gothic" w:cstheme="minorHAnsi"/>
          <w:bCs/>
          <w:color w:val="000000" w:themeColor="text1"/>
          <w:sz w:val="22"/>
          <w:szCs w:val="22"/>
          <w:lang w:val="en-US"/>
        </w:rPr>
        <w:t>up</w:t>
      </w:r>
      <w:r w:rsidRPr="008F2790">
        <w:rPr>
          <w:rFonts w:ascii="Century Gothic" w:hAnsi="Century Gothic" w:cstheme="minorHAnsi"/>
          <w:bCs/>
          <w:color w:val="000000" w:themeColor="text1"/>
          <w:sz w:val="22"/>
          <w:szCs w:val="22"/>
          <w:lang w:val="en-US"/>
        </w:rPr>
        <w:t>on successful</w:t>
      </w:r>
      <w:r w:rsidR="008F2790">
        <w:rPr>
          <w:rFonts w:ascii="Century Gothic" w:hAnsi="Century Gothic" w:cstheme="minorHAnsi"/>
          <w:bCs/>
          <w:color w:val="000000" w:themeColor="text1"/>
          <w:sz w:val="22"/>
          <w:szCs w:val="22"/>
          <w:lang w:val="en-US"/>
        </w:rPr>
        <w:t xml:space="preserve"> completion of </w:t>
      </w:r>
      <w:r w:rsidR="000D6739">
        <w:rPr>
          <w:rFonts w:ascii="Century Gothic" w:hAnsi="Century Gothic" w:cstheme="minorHAnsi"/>
          <w:bCs/>
          <w:color w:val="000000" w:themeColor="text1"/>
          <w:sz w:val="22"/>
          <w:szCs w:val="22"/>
          <w:lang w:val="en-US"/>
        </w:rPr>
        <w:t xml:space="preserve">the </w:t>
      </w:r>
      <w:r w:rsidRPr="008F2790">
        <w:rPr>
          <w:rFonts w:ascii="Century Gothic" w:hAnsi="Century Gothic" w:cstheme="minorHAnsi"/>
          <w:bCs/>
          <w:color w:val="000000" w:themeColor="text1"/>
          <w:sz w:val="22"/>
          <w:szCs w:val="22"/>
          <w:lang w:val="en-US"/>
        </w:rPr>
        <w:t xml:space="preserve">annual </w:t>
      </w:r>
      <w:r w:rsidR="000D6739">
        <w:rPr>
          <w:rFonts w:ascii="Century Gothic" w:hAnsi="Century Gothic" w:cstheme="minorHAnsi"/>
          <w:bCs/>
          <w:color w:val="000000" w:themeColor="text1"/>
          <w:sz w:val="22"/>
          <w:szCs w:val="22"/>
          <w:lang w:val="en-US"/>
        </w:rPr>
        <w:t>review</w:t>
      </w:r>
      <w:r w:rsidRPr="008F2790">
        <w:rPr>
          <w:rFonts w:ascii="Century Gothic" w:hAnsi="Century Gothic" w:cstheme="minorHAnsi"/>
          <w:bCs/>
          <w:color w:val="000000" w:themeColor="text1"/>
          <w:sz w:val="22"/>
          <w:szCs w:val="22"/>
          <w:lang w:val="en-US"/>
        </w:rPr>
        <w:t xml:space="preserve">, </w:t>
      </w:r>
      <w:r w:rsidR="008F2790" w:rsidRPr="008F2790">
        <w:rPr>
          <w:rFonts w:ascii="Century Gothic" w:hAnsi="Century Gothic" w:cstheme="minorHAnsi"/>
          <w:bCs/>
          <w:color w:val="000000" w:themeColor="text1"/>
          <w:sz w:val="22"/>
          <w:szCs w:val="22"/>
          <w:lang w:val="en-US"/>
        </w:rPr>
        <w:t xml:space="preserve">and payment of the annual Stage 2 fee. </w:t>
      </w:r>
    </w:p>
    <w:p w14:paraId="1A1258D8" w14:textId="027BF958" w:rsidR="008F2790" w:rsidRPr="008F2790" w:rsidRDefault="00660031" w:rsidP="004C535B">
      <w:pPr>
        <w:spacing w:before="120" w:line="288" w:lineRule="auto"/>
        <w:jc w:val="both"/>
        <w:rPr>
          <w:rFonts w:ascii="Century Gothic" w:hAnsi="Century Gothic" w:cstheme="minorHAnsi"/>
          <w:bCs/>
          <w:color w:val="000000" w:themeColor="text1"/>
          <w:sz w:val="22"/>
          <w:szCs w:val="22"/>
          <w:lang w:val="en-US"/>
        </w:rPr>
      </w:pPr>
      <w:r w:rsidRPr="008F2790">
        <w:rPr>
          <w:rFonts w:ascii="Century Gothic" w:hAnsi="Century Gothic" w:cstheme="minorHAnsi"/>
          <w:bCs/>
          <w:color w:val="000000" w:themeColor="text1"/>
          <w:sz w:val="22"/>
          <w:szCs w:val="22"/>
          <w:lang w:val="en-US"/>
        </w:rPr>
        <w:t xml:space="preserve">In order to avoid a lapse in certification, </w:t>
      </w:r>
      <w:r w:rsidR="00307097">
        <w:rPr>
          <w:rFonts w:ascii="Century Gothic" w:hAnsi="Century Gothic" w:cstheme="minorHAnsi"/>
          <w:bCs/>
          <w:color w:val="000000" w:themeColor="text1"/>
          <w:sz w:val="22"/>
          <w:szCs w:val="22"/>
          <w:lang w:val="en-US"/>
        </w:rPr>
        <w:t xml:space="preserve">in the last year of accreditation </w:t>
      </w:r>
      <w:r w:rsidR="002774AB">
        <w:rPr>
          <w:rFonts w:ascii="Century Gothic" w:hAnsi="Century Gothic" w:cstheme="minorHAnsi"/>
          <w:bCs/>
          <w:color w:val="000000" w:themeColor="text1"/>
          <w:sz w:val="22"/>
          <w:szCs w:val="22"/>
          <w:lang w:val="en-US"/>
        </w:rPr>
        <w:t xml:space="preserve">the </w:t>
      </w:r>
      <w:r w:rsidR="008F2790" w:rsidRPr="008F2790">
        <w:rPr>
          <w:rFonts w:ascii="Century Gothic" w:hAnsi="Century Gothic" w:cstheme="minorHAnsi"/>
          <w:bCs/>
          <w:color w:val="000000" w:themeColor="text1"/>
          <w:sz w:val="22"/>
          <w:szCs w:val="22"/>
          <w:lang w:val="en-US"/>
        </w:rPr>
        <w:t xml:space="preserve">Service </w:t>
      </w:r>
      <w:r w:rsidR="00C02A13">
        <w:rPr>
          <w:rFonts w:ascii="Century Gothic" w:hAnsi="Century Gothic" w:cstheme="minorHAnsi"/>
          <w:bCs/>
          <w:color w:val="000000" w:themeColor="text1"/>
          <w:sz w:val="22"/>
          <w:szCs w:val="22"/>
          <w:lang w:val="en-US"/>
        </w:rPr>
        <w:t xml:space="preserve">should </w:t>
      </w:r>
      <w:r w:rsidR="00D216B5">
        <w:rPr>
          <w:rFonts w:ascii="Century Gothic" w:hAnsi="Century Gothic" w:cstheme="minorHAnsi"/>
          <w:bCs/>
          <w:color w:val="000000" w:themeColor="text1"/>
          <w:sz w:val="22"/>
          <w:szCs w:val="22"/>
          <w:lang w:val="en-US"/>
        </w:rPr>
        <w:t xml:space="preserve">make contact with the SEQOHS office for advice </w:t>
      </w:r>
      <w:r w:rsidR="00E0199C">
        <w:rPr>
          <w:rFonts w:ascii="Century Gothic" w:hAnsi="Century Gothic" w:cstheme="minorHAnsi"/>
          <w:bCs/>
          <w:color w:val="000000" w:themeColor="text1"/>
          <w:sz w:val="22"/>
          <w:szCs w:val="22"/>
          <w:lang w:val="en-US"/>
        </w:rPr>
        <w:t>and support</w:t>
      </w:r>
      <w:r w:rsidR="00607D35">
        <w:rPr>
          <w:rFonts w:ascii="Century Gothic" w:hAnsi="Century Gothic" w:cstheme="minorHAnsi"/>
          <w:bCs/>
          <w:color w:val="000000" w:themeColor="text1"/>
          <w:sz w:val="22"/>
          <w:szCs w:val="22"/>
          <w:lang w:val="en-US"/>
        </w:rPr>
        <w:t xml:space="preserve"> as early as possible</w:t>
      </w:r>
      <w:r w:rsidR="000854E9">
        <w:rPr>
          <w:rFonts w:ascii="Century Gothic" w:hAnsi="Century Gothic" w:cstheme="minorHAnsi"/>
          <w:bCs/>
          <w:color w:val="000000" w:themeColor="text1"/>
          <w:sz w:val="22"/>
          <w:szCs w:val="22"/>
          <w:lang w:val="en-US"/>
        </w:rPr>
        <w:t xml:space="preserve">, </w:t>
      </w:r>
      <w:r w:rsidR="00A4314C">
        <w:rPr>
          <w:rFonts w:ascii="Century Gothic" w:hAnsi="Century Gothic" w:cstheme="minorHAnsi"/>
          <w:bCs/>
          <w:color w:val="000000" w:themeColor="text1"/>
          <w:sz w:val="22"/>
          <w:szCs w:val="22"/>
          <w:lang w:val="en-US"/>
        </w:rPr>
        <w:t xml:space="preserve">so that </w:t>
      </w:r>
      <w:r w:rsidR="00607D35">
        <w:rPr>
          <w:rFonts w:ascii="Century Gothic" w:hAnsi="Century Gothic" w:cstheme="minorHAnsi"/>
          <w:bCs/>
          <w:color w:val="000000" w:themeColor="text1"/>
          <w:sz w:val="22"/>
          <w:szCs w:val="22"/>
          <w:lang w:val="en-US"/>
        </w:rPr>
        <w:t>the Service has sufficient time to make adequate checks and prepar</w:t>
      </w:r>
      <w:r w:rsidR="00297DA3">
        <w:rPr>
          <w:rFonts w:ascii="Century Gothic" w:hAnsi="Century Gothic" w:cstheme="minorHAnsi"/>
          <w:bCs/>
          <w:color w:val="000000" w:themeColor="text1"/>
          <w:sz w:val="22"/>
          <w:szCs w:val="22"/>
          <w:lang w:val="en-US"/>
        </w:rPr>
        <w:t xml:space="preserve">ations </w:t>
      </w:r>
      <w:r w:rsidR="00A4314C">
        <w:rPr>
          <w:rFonts w:ascii="Century Gothic" w:hAnsi="Century Gothic" w:cstheme="minorHAnsi"/>
          <w:bCs/>
          <w:color w:val="000000" w:themeColor="text1"/>
          <w:sz w:val="22"/>
          <w:szCs w:val="22"/>
          <w:lang w:val="en-US"/>
        </w:rPr>
        <w:t>for re-</w:t>
      </w:r>
      <w:r w:rsidR="00C02A13">
        <w:rPr>
          <w:rFonts w:ascii="Century Gothic" w:hAnsi="Century Gothic" w:cstheme="minorHAnsi"/>
          <w:bCs/>
          <w:color w:val="000000" w:themeColor="text1"/>
          <w:sz w:val="22"/>
          <w:szCs w:val="22"/>
          <w:lang w:val="en-US"/>
        </w:rPr>
        <w:t>accreditation</w:t>
      </w:r>
      <w:r w:rsidR="00297DA3">
        <w:rPr>
          <w:rFonts w:ascii="Century Gothic" w:hAnsi="Century Gothic" w:cstheme="minorHAnsi"/>
          <w:bCs/>
          <w:color w:val="000000" w:themeColor="text1"/>
          <w:sz w:val="22"/>
          <w:szCs w:val="22"/>
          <w:lang w:val="en-US"/>
        </w:rPr>
        <w:t>.</w:t>
      </w:r>
    </w:p>
    <w:p w14:paraId="6AE2941D" w14:textId="681C205C" w:rsidR="000327F4" w:rsidRDefault="008F2790"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All fee</w:t>
      </w:r>
      <w:r w:rsidR="000327F4" w:rsidRPr="008F2790">
        <w:rPr>
          <w:rFonts w:ascii="Century Gothic" w:hAnsi="Century Gothic" w:cstheme="minorHAnsi"/>
          <w:bCs/>
          <w:color w:val="000000" w:themeColor="text1"/>
          <w:sz w:val="22"/>
          <w:szCs w:val="22"/>
          <w:lang w:val="en-US"/>
        </w:rPr>
        <w:t>s are non-refundable.</w:t>
      </w:r>
    </w:p>
    <w:p w14:paraId="5707F3FD" w14:textId="77777777" w:rsidR="008F2790" w:rsidRPr="008F2790" w:rsidRDefault="008F2790" w:rsidP="008F2790">
      <w:pPr>
        <w:spacing w:line="288" w:lineRule="auto"/>
        <w:rPr>
          <w:rFonts w:ascii="Century Gothic" w:hAnsi="Century Gothic" w:cstheme="minorHAnsi"/>
          <w:bCs/>
          <w:color w:val="000000" w:themeColor="text1"/>
          <w:sz w:val="22"/>
          <w:szCs w:val="22"/>
          <w:lang w:val="en-US"/>
        </w:rPr>
      </w:pPr>
    </w:p>
    <w:p w14:paraId="1E968991" w14:textId="7CE922A4" w:rsidR="00CE1411" w:rsidRDefault="00773355" w:rsidP="005C15AC">
      <w:pPr>
        <w:pStyle w:val="Heading1"/>
      </w:pPr>
      <w:r>
        <w:t>R</w:t>
      </w:r>
      <w:r w:rsidR="00CE1411">
        <w:t>e</w:t>
      </w:r>
      <w:r w:rsidR="00F555C9">
        <w:t>adiness checks</w:t>
      </w:r>
      <w:r w:rsidR="00CE1411">
        <w:t xml:space="preserve"> </w:t>
      </w:r>
    </w:p>
    <w:p w14:paraId="393010F4" w14:textId="2BAC7939" w:rsidR="00CE1411" w:rsidRPr="00604BE3" w:rsidRDefault="008F2790" w:rsidP="00604BE3">
      <w:pPr>
        <w:spacing w:before="120" w:line="288" w:lineRule="auto"/>
        <w:rPr>
          <w:rFonts w:ascii="Century Gothic" w:hAnsi="Century Gothic"/>
          <w:sz w:val="22"/>
          <w:szCs w:val="22"/>
        </w:rPr>
      </w:pPr>
      <w:r>
        <w:rPr>
          <w:rFonts w:ascii="Century Gothic" w:hAnsi="Century Gothic"/>
          <w:sz w:val="22"/>
          <w:szCs w:val="22"/>
        </w:rPr>
        <w:t>The Service agrees</w:t>
      </w:r>
      <w:r w:rsidR="00CE1411" w:rsidRPr="005B0AD6">
        <w:rPr>
          <w:rFonts w:ascii="Century Gothic" w:hAnsi="Century Gothic"/>
          <w:sz w:val="22"/>
          <w:szCs w:val="22"/>
        </w:rPr>
        <w:t xml:space="preserve"> to:</w:t>
      </w:r>
    </w:p>
    <w:p w14:paraId="0DACE7D1" w14:textId="340E5E8D" w:rsidR="00CE1411" w:rsidRPr="005B0AD6" w:rsidRDefault="00773355" w:rsidP="000733F0">
      <w:pPr>
        <w:pStyle w:val="ListParagraph"/>
        <w:numPr>
          <w:ilvl w:val="0"/>
          <w:numId w:val="15"/>
        </w:numPr>
        <w:spacing w:before="120" w:line="288" w:lineRule="auto"/>
        <w:ind w:left="284" w:hanging="284"/>
        <w:contextualSpacing w:val="0"/>
        <w:rPr>
          <w:rFonts w:ascii="Century Gothic" w:hAnsi="Century Gothic" w:cstheme="minorHAnsi"/>
          <w:bCs/>
          <w:color w:val="000000" w:themeColor="text1"/>
          <w:lang w:val="en-US"/>
        </w:rPr>
      </w:pPr>
      <w:r>
        <w:rPr>
          <w:rFonts w:ascii="Century Gothic" w:hAnsi="Century Gothic" w:cstheme="minorHAnsi"/>
          <w:bCs/>
          <w:color w:val="000000" w:themeColor="text1"/>
          <w:lang w:val="en-US"/>
        </w:rPr>
        <w:t>P</w:t>
      </w:r>
      <w:r w:rsidR="00CE1411" w:rsidRPr="005B0AD6">
        <w:rPr>
          <w:rFonts w:ascii="Century Gothic" w:hAnsi="Century Gothic" w:cstheme="minorHAnsi"/>
          <w:bCs/>
          <w:color w:val="000000" w:themeColor="text1"/>
          <w:lang w:val="en-US"/>
        </w:rPr>
        <w:t xml:space="preserve">opulate the webtool as </w:t>
      </w:r>
      <w:r w:rsidR="00604BE3">
        <w:rPr>
          <w:rFonts w:ascii="Century Gothic" w:hAnsi="Century Gothic" w:cstheme="minorHAnsi"/>
          <w:bCs/>
          <w:color w:val="000000" w:themeColor="text1"/>
          <w:lang w:val="en-US"/>
        </w:rPr>
        <w:t xml:space="preserve">advised </w:t>
      </w:r>
      <w:r w:rsidR="00CE1411" w:rsidRPr="005B0AD6">
        <w:rPr>
          <w:rFonts w:ascii="Century Gothic" w:hAnsi="Century Gothic" w:cstheme="minorHAnsi"/>
          <w:bCs/>
          <w:color w:val="000000" w:themeColor="text1"/>
          <w:lang w:val="en-US"/>
        </w:rPr>
        <w:t>by SEQOHS</w:t>
      </w:r>
      <w:r w:rsidR="00356637" w:rsidRPr="005B0AD6">
        <w:rPr>
          <w:rFonts w:ascii="Century Gothic" w:hAnsi="Century Gothic" w:cstheme="minorHAnsi"/>
          <w:bCs/>
          <w:color w:val="000000" w:themeColor="text1"/>
          <w:lang w:val="en-US"/>
        </w:rPr>
        <w:t>;</w:t>
      </w:r>
    </w:p>
    <w:p w14:paraId="2355BE20" w14:textId="65C7ADD1" w:rsidR="00CE1411" w:rsidRPr="005B0AD6" w:rsidRDefault="00773355" w:rsidP="000733F0">
      <w:pPr>
        <w:pStyle w:val="ListParagraph"/>
        <w:numPr>
          <w:ilvl w:val="0"/>
          <w:numId w:val="15"/>
        </w:numPr>
        <w:spacing w:before="120" w:line="288" w:lineRule="auto"/>
        <w:ind w:left="284" w:hanging="284"/>
        <w:contextualSpacing w:val="0"/>
        <w:rPr>
          <w:rFonts w:ascii="Century Gothic" w:hAnsi="Century Gothic" w:cstheme="minorHAnsi"/>
          <w:bCs/>
          <w:color w:val="000000" w:themeColor="text1"/>
          <w:lang w:val="en-US"/>
        </w:rPr>
      </w:pPr>
      <w:r>
        <w:rPr>
          <w:rFonts w:ascii="Century Gothic" w:hAnsi="Century Gothic" w:cstheme="minorHAnsi"/>
          <w:bCs/>
          <w:color w:val="000000" w:themeColor="text1"/>
          <w:lang w:val="en-US"/>
        </w:rPr>
        <w:t>P</w:t>
      </w:r>
      <w:r w:rsidR="00CE1411" w:rsidRPr="005B0AD6">
        <w:rPr>
          <w:rFonts w:ascii="Century Gothic" w:hAnsi="Century Gothic" w:cstheme="minorHAnsi"/>
          <w:bCs/>
          <w:color w:val="000000" w:themeColor="text1"/>
          <w:lang w:val="en-US"/>
        </w:rPr>
        <w:t>rovide suitable commentary and evidence required for assessment</w:t>
      </w:r>
      <w:r w:rsidR="00356637" w:rsidRPr="005B0AD6">
        <w:rPr>
          <w:rFonts w:ascii="Century Gothic" w:hAnsi="Century Gothic" w:cstheme="minorHAnsi"/>
          <w:bCs/>
          <w:color w:val="000000" w:themeColor="text1"/>
          <w:lang w:val="en-US"/>
        </w:rPr>
        <w:t>;</w:t>
      </w:r>
    </w:p>
    <w:p w14:paraId="1FA7BEFA" w14:textId="2F653E53" w:rsidR="00356637" w:rsidRDefault="00773355" w:rsidP="000733F0">
      <w:pPr>
        <w:pStyle w:val="ListParagraph"/>
        <w:numPr>
          <w:ilvl w:val="0"/>
          <w:numId w:val="15"/>
        </w:numPr>
        <w:spacing w:before="120" w:line="288" w:lineRule="auto"/>
        <w:ind w:left="284" w:hanging="284"/>
        <w:contextualSpacing w:val="0"/>
        <w:rPr>
          <w:rFonts w:ascii="Century Gothic" w:hAnsi="Century Gothic" w:cstheme="minorHAnsi"/>
          <w:bCs/>
          <w:color w:val="000000" w:themeColor="text1"/>
          <w:lang w:val="en-US"/>
        </w:rPr>
      </w:pPr>
      <w:r>
        <w:rPr>
          <w:rFonts w:ascii="Century Gothic" w:hAnsi="Century Gothic" w:cstheme="minorHAnsi"/>
          <w:bCs/>
          <w:color w:val="000000" w:themeColor="text1"/>
          <w:lang w:val="en-US"/>
        </w:rPr>
        <w:t>A</w:t>
      </w:r>
      <w:r w:rsidR="00356637" w:rsidRPr="005B0AD6">
        <w:rPr>
          <w:rFonts w:ascii="Century Gothic" w:hAnsi="Century Gothic" w:cstheme="minorHAnsi"/>
          <w:bCs/>
          <w:color w:val="000000" w:themeColor="text1"/>
          <w:lang w:val="en-US"/>
        </w:rPr>
        <w:t xml:space="preserve">bide by </w:t>
      </w:r>
      <w:r w:rsidR="009C0325">
        <w:rPr>
          <w:rFonts w:ascii="Century Gothic" w:hAnsi="Century Gothic" w:cstheme="minorHAnsi"/>
          <w:bCs/>
          <w:color w:val="000000" w:themeColor="text1"/>
          <w:lang w:val="en-US"/>
        </w:rPr>
        <w:t xml:space="preserve">the </w:t>
      </w:r>
      <w:r w:rsidR="00356637" w:rsidRPr="005B0AD6">
        <w:rPr>
          <w:rFonts w:ascii="Century Gothic" w:hAnsi="Century Gothic" w:cstheme="minorHAnsi"/>
          <w:bCs/>
          <w:color w:val="000000" w:themeColor="text1"/>
          <w:lang w:val="en-US"/>
        </w:rPr>
        <w:t xml:space="preserve">timescales agreed with the </w:t>
      </w:r>
      <w:r w:rsidR="009C0325">
        <w:rPr>
          <w:rFonts w:ascii="Century Gothic" w:hAnsi="Century Gothic" w:cstheme="minorHAnsi"/>
          <w:bCs/>
          <w:color w:val="000000" w:themeColor="text1"/>
          <w:lang w:val="en-US"/>
        </w:rPr>
        <w:t>SEQOHS</w:t>
      </w:r>
      <w:r w:rsidR="00E15DC5">
        <w:rPr>
          <w:rFonts w:ascii="Century Gothic" w:hAnsi="Century Gothic" w:cstheme="minorHAnsi"/>
          <w:bCs/>
          <w:color w:val="000000" w:themeColor="text1"/>
          <w:lang w:val="en-US"/>
        </w:rPr>
        <w:t>.</w:t>
      </w:r>
    </w:p>
    <w:p w14:paraId="28EDC6C0" w14:textId="77777777" w:rsidR="005C15AC" w:rsidRPr="005B0AD6" w:rsidRDefault="005C15AC" w:rsidP="005C15AC">
      <w:pPr>
        <w:pStyle w:val="ListParagraph"/>
        <w:spacing w:before="120" w:line="288" w:lineRule="auto"/>
        <w:ind w:left="284"/>
        <w:contextualSpacing w:val="0"/>
        <w:rPr>
          <w:rFonts w:ascii="Century Gothic" w:hAnsi="Century Gothic" w:cstheme="minorHAnsi"/>
          <w:bCs/>
          <w:color w:val="000000" w:themeColor="text1"/>
          <w:lang w:val="en-US"/>
        </w:rPr>
      </w:pPr>
    </w:p>
    <w:p w14:paraId="042BAB52" w14:textId="0147F054" w:rsidR="00CE1411" w:rsidRPr="00DC3095" w:rsidRDefault="00A31C9C" w:rsidP="005C15AC">
      <w:pPr>
        <w:pStyle w:val="Heading1"/>
      </w:pPr>
      <w:r>
        <w:lastRenderedPageBreak/>
        <w:t>SEQOHS accreditation e-visit</w:t>
      </w:r>
    </w:p>
    <w:p w14:paraId="5C8ED34C" w14:textId="01572ADB" w:rsidR="00356637" w:rsidRPr="00356637" w:rsidRDefault="00356637" w:rsidP="004C535B">
      <w:pPr>
        <w:pStyle w:val="ListParagraph"/>
        <w:numPr>
          <w:ilvl w:val="0"/>
          <w:numId w:val="15"/>
        </w:numPr>
        <w:spacing w:before="120" w:line="288" w:lineRule="auto"/>
        <w:ind w:left="284" w:hanging="284"/>
        <w:contextualSpacing w:val="0"/>
        <w:jc w:val="both"/>
      </w:pPr>
      <w:r w:rsidRPr="00DC3095">
        <w:rPr>
          <w:rFonts w:ascii="Century Gothic" w:hAnsi="Century Gothic" w:cstheme="minorHAnsi"/>
          <w:bCs/>
          <w:color w:val="000000" w:themeColor="text1"/>
          <w:lang w:val="en-US"/>
        </w:rPr>
        <w:t xml:space="preserve">The </w:t>
      </w:r>
      <w:r w:rsidR="00A31C9C">
        <w:rPr>
          <w:rFonts w:ascii="Century Gothic" w:hAnsi="Century Gothic" w:cstheme="minorHAnsi"/>
          <w:bCs/>
          <w:color w:val="000000" w:themeColor="text1"/>
          <w:lang w:val="en-US"/>
        </w:rPr>
        <w:t xml:space="preserve">Service </w:t>
      </w:r>
      <w:r w:rsidRPr="00DC3095">
        <w:rPr>
          <w:rFonts w:ascii="Century Gothic" w:hAnsi="Century Gothic" w:cstheme="minorHAnsi"/>
          <w:bCs/>
          <w:color w:val="000000" w:themeColor="text1"/>
          <w:lang w:val="en-US"/>
        </w:rPr>
        <w:t>agree</w:t>
      </w:r>
      <w:r w:rsidR="00A31C9C">
        <w:rPr>
          <w:rFonts w:ascii="Century Gothic" w:hAnsi="Century Gothic" w:cstheme="minorHAnsi"/>
          <w:bCs/>
          <w:color w:val="000000" w:themeColor="text1"/>
          <w:lang w:val="en-US"/>
        </w:rPr>
        <w:t>s</w:t>
      </w:r>
      <w:r w:rsidRPr="00DC3095">
        <w:rPr>
          <w:rFonts w:ascii="Century Gothic" w:hAnsi="Century Gothic" w:cstheme="minorHAnsi"/>
          <w:bCs/>
          <w:color w:val="000000" w:themeColor="text1"/>
          <w:lang w:val="en-US"/>
        </w:rPr>
        <w:t xml:space="preserve"> </w:t>
      </w:r>
      <w:r w:rsidRPr="00CE1411">
        <w:rPr>
          <w:rFonts w:ascii="Century Gothic" w:hAnsi="Century Gothic" w:cstheme="minorHAnsi"/>
          <w:bCs/>
          <w:color w:val="000000" w:themeColor="text1"/>
          <w:lang w:val="en-US"/>
        </w:rPr>
        <w:t xml:space="preserve">to afford the SEQOHS </w:t>
      </w:r>
      <w:r w:rsidR="00E15DC5">
        <w:rPr>
          <w:rFonts w:ascii="Century Gothic" w:hAnsi="Century Gothic" w:cstheme="minorHAnsi"/>
          <w:bCs/>
          <w:color w:val="000000" w:themeColor="text1"/>
          <w:lang w:val="en-US"/>
        </w:rPr>
        <w:t>As</w:t>
      </w:r>
      <w:r w:rsidRPr="00CE1411">
        <w:rPr>
          <w:rFonts w:ascii="Century Gothic" w:hAnsi="Century Gothic" w:cstheme="minorHAnsi"/>
          <w:bCs/>
          <w:color w:val="000000" w:themeColor="text1"/>
          <w:lang w:val="en-US"/>
        </w:rPr>
        <w:t xml:space="preserve">sessors such reasonable cooperation </w:t>
      </w:r>
      <w:r>
        <w:rPr>
          <w:rFonts w:ascii="Century Gothic" w:hAnsi="Century Gothic" w:cstheme="minorHAnsi"/>
          <w:bCs/>
          <w:color w:val="000000" w:themeColor="text1"/>
          <w:lang w:val="en-US"/>
        </w:rPr>
        <w:t xml:space="preserve">and </w:t>
      </w:r>
      <w:r w:rsidRPr="00CE1411">
        <w:rPr>
          <w:rFonts w:ascii="Century Gothic" w:hAnsi="Century Gothic" w:cstheme="minorHAnsi"/>
          <w:bCs/>
          <w:color w:val="000000" w:themeColor="text1"/>
          <w:lang w:val="en-US"/>
        </w:rPr>
        <w:t xml:space="preserve">access </w:t>
      </w:r>
      <w:r>
        <w:rPr>
          <w:rFonts w:ascii="Century Gothic" w:hAnsi="Century Gothic" w:cstheme="minorHAnsi"/>
          <w:bCs/>
          <w:color w:val="000000" w:themeColor="text1"/>
          <w:lang w:val="en-US"/>
        </w:rPr>
        <w:t xml:space="preserve">to </w:t>
      </w:r>
      <w:r w:rsidRPr="00CE1411">
        <w:rPr>
          <w:rFonts w:ascii="Century Gothic" w:hAnsi="Century Gothic" w:cstheme="minorHAnsi"/>
          <w:bCs/>
          <w:color w:val="000000" w:themeColor="text1"/>
          <w:lang w:val="en-US"/>
        </w:rPr>
        <w:t xml:space="preserve">any information and facilities as may be necessary to conduct </w:t>
      </w:r>
      <w:r>
        <w:rPr>
          <w:rFonts w:ascii="Century Gothic" w:hAnsi="Century Gothic" w:cstheme="minorHAnsi"/>
          <w:bCs/>
          <w:color w:val="000000" w:themeColor="text1"/>
          <w:lang w:val="en-US"/>
        </w:rPr>
        <w:t>the</w:t>
      </w:r>
      <w:r w:rsidRPr="00CE1411">
        <w:rPr>
          <w:rFonts w:ascii="Century Gothic" w:hAnsi="Century Gothic" w:cstheme="minorHAnsi"/>
          <w:bCs/>
          <w:color w:val="000000" w:themeColor="text1"/>
          <w:lang w:val="en-US"/>
        </w:rPr>
        <w:t xml:space="preserve"> SEQOHS </w:t>
      </w:r>
      <w:r w:rsidR="00872752">
        <w:rPr>
          <w:rFonts w:ascii="Century Gothic" w:hAnsi="Century Gothic" w:cstheme="minorHAnsi"/>
          <w:bCs/>
          <w:color w:val="000000" w:themeColor="text1"/>
          <w:lang w:val="en-US"/>
        </w:rPr>
        <w:t xml:space="preserve">accreditation </w:t>
      </w:r>
      <w:r w:rsidRPr="00CE1411">
        <w:rPr>
          <w:rFonts w:ascii="Century Gothic" w:hAnsi="Century Gothic" w:cstheme="minorHAnsi"/>
          <w:bCs/>
          <w:color w:val="000000" w:themeColor="text1"/>
          <w:lang w:val="en-US"/>
        </w:rPr>
        <w:t>assessment</w:t>
      </w:r>
      <w:r w:rsidR="00F65D31">
        <w:rPr>
          <w:rFonts w:ascii="Century Gothic" w:hAnsi="Century Gothic" w:cstheme="minorHAnsi"/>
          <w:bCs/>
          <w:color w:val="000000" w:themeColor="text1"/>
          <w:lang w:val="en-US"/>
        </w:rPr>
        <w:t>.</w:t>
      </w:r>
    </w:p>
    <w:p w14:paraId="1A582B67" w14:textId="2A3132EE" w:rsidR="00CE1411" w:rsidRPr="00DC3095" w:rsidRDefault="00356637" w:rsidP="004C535B">
      <w:pPr>
        <w:pStyle w:val="ListParagraph"/>
        <w:numPr>
          <w:ilvl w:val="0"/>
          <w:numId w:val="15"/>
        </w:numPr>
        <w:spacing w:before="120" w:line="288" w:lineRule="auto"/>
        <w:ind w:left="284" w:hanging="284"/>
        <w:contextualSpacing w:val="0"/>
        <w:jc w:val="both"/>
      </w:pPr>
      <w:r w:rsidRPr="00DC3095">
        <w:rPr>
          <w:rFonts w:ascii="Century Gothic" w:hAnsi="Century Gothic" w:cstheme="minorHAnsi"/>
          <w:bCs/>
          <w:color w:val="000000" w:themeColor="text1"/>
          <w:lang w:val="en-US"/>
        </w:rPr>
        <w:t>The</w:t>
      </w:r>
      <w:r w:rsidR="0082131E">
        <w:rPr>
          <w:rFonts w:ascii="Century Gothic" w:hAnsi="Century Gothic" w:cstheme="minorHAnsi"/>
          <w:bCs/>
          <w:color w:val="000000" w:themeColor="text1"/>
          <w:lang w:val="en-US"/>
        </w:rPr>
        <w:t xml:space="preserve"> S</w:t>
      </w:r>
      <w:r w:rsidRPr="00DC3095">
        <w:rPr>
          <w:rFonts w:ascii="Century Gothic" w:hAnsi="Century Gothic" w:cstheme="minorHAnsi"/>
          <w:bCs/>
          <w:color w:val="000000" w:themeColor="text1"/>
          <w:lang w:val="en-US"/>
        </w:rPr>
        <w:t>ervice</w:t>
      </w:r>
      <w:r w:rsidR="00041973">
        <w:rPr>
          <w:rFonts w:ascii="Century Gothic" w:hAnsi="Century Gothic" w:cstheme="minorHAnsi"/>
          <w:bCs/>
          <w:color w:val="000000" w:themeColor="text1"/>
          <w:lang w:val="en-US"/>
        </w:rPr>
        <w:t xml:space="preserve"> will</w:t>
      </w:r>
      <w:r w:rsidR="00CE1411" w:rsidRPr="00DC3095">
        <w:rPr>
          <w:rFonts w:ascii="Century Gothic" w:hAnsi="Century Gothic" w:cstheme="minorHAnsi"/>
          <w:bCs/>
          <w:color w:val="000000" w:themeColor="text1"/>
          <w:lang w:val="en-US"/>
        </w:rPr>
        <w:t xml:space="preserve"> </w:t>
      </w:r>
      <w:r w:rsidR="00403DF0">
        <w:rPr>
          <w:rFonts w:ascii="Century Gothic" w:hAnsi="Century Gothic" w:cstheme="minorHAnsi"/>
          <w:bCs/>
          <w:color w:val="000000" w:themeColor="text1"/>
          <w:lang w:val="en-US"/>
        </w:rPr>
        <w:t>ensure</w:t>
      </w:r>
      <w:r w:rsidR="00CE1411" w:rsidRPr="00DC3095">
        <w:rPr>
          <w:rFonts w:ascii="Century Gothic" w:hAnsi="Century Gothic" w:cstheme="minorHAnsi"/>
          <w:bCs/>
          <w:color w:val="000000" w:themeColor="text1"/>
          <w:lang w:val="en-US"/>
        </w:rPr>
        <w:t xml:space="preserve"> </w:t>
      </w:r>
      <w:r w:rsidR="000D6A88">
        <w:rPr>
          <w:rFonts w:ascii="Century Gothic" w:hAnsi="Century Gothic" w:cstheme="minorHAnsi"/>
          <w:bCs/>
          <w:color w:val="000000" w:themeColor="text1"/>
          <w:lang w:val="en-US"/>
        </w:rPr>
        <w:t xml:space="preserve">that </w:t>
      </w:r>
      <w:r w:rsidR="00F07F5C">
        <w:rPr>
          <w:rFonts w:ascii="Century Gothic" w:hAnsi="Century Gothic" w:cstheme="minorHAnsi"/>
          <w:bCs/>
          <w:color w:val="000000" w:themeColor="text1"/>
          <w:lang w:val="en-US"/>
        </w:rPr>
        <w:t>it</w:t>
      </w:r>
      <w:r w:rsidR="000D6A88">
        <w:rPr>
          <w:rFonts w:ascii="Century Gothic" w:hAnsi="Century Gothic" w:cstheme="minorHAnsi"/>
          <w:bCs/>
          <w:color w:val="000000" w:themeColor="text1"/>
          <w:lang w:val="en-US"/>
        </w:rPr>
        <w:t xml:space="preserve"> ha</w:t>
      </w:r>
      <w:r w:rsidR="00F07F5C">
        <w:rPr>
          <w:rFonts w:ascii="Century Gothic" w:hAnsi="Century Gothic" w:cstheme="minorHAnsi"/>
          <w:bCs/>
          <w:color w:val="000000" w:themeColor="text1"/>
          <w:lang w:val="en-US"/>
        </w:rPr>
        <w:t>s</w:t>
      </w:r>
      <w:r w:rsidR="000D6A88">
        <w:rPr>
          <w:rFonts w:ascii="Century Gothic" w:hAnsi="Century Gothic" w:cstheme="minorHAnsi"/>
          <w:bCs/>
          <w:color w:val="000000" w:themeColor="text1"/>
          <w:lang w:val="en-US"/>
        </w:rPr>
        <w:t xml:space="preserve"> </w:t>
      </w:r>
      <w:r w:rsidR="00CE1411" w:rsidRPr="00DC3095">
        <w:rPr>
          <w:rFonts w:ascii="Century Gothic" w:hAnsi="Century Gothic" w:cstheme="minorHAnsi"/>
          <w:bCs/>
          <w:color w:val="000000" w:themeColor="text1"/>
          <w:lang w:val="en-US"/>
        </w:rPr>
        <w:t xml:space="preserve">suitable </w:t>
      </w:r>
      <w:r w:rsidR="00403DF0">
        <w:rPr>
          <w:rFonts w:ascii="Century Gothic" w:hAnsi="Century Gothic" w:cstheme="minorHAnsi"/>
          <w:bCs/>
          <w:color w:val="000000" w:themeColor="text1"/>
          <w:lang w:val="en-US"/>
        </w:rPr>
        <w:t xml:space="preserve">resources available </w:t>
      </w:r>
      <w:r w:rsidR="00F65D31">
        <w:rPr>
          <w:rFonts w:ascii="Century Gothic" w:hAnsi="Century Gothic" w:cstheme="minorHAnsi"/>
          <w:bCs/>
          <w:color w:val="000000" w:themeColor="text1"/>
          <w:lang w:val="en-US"/>
        </w:rPr>
        <w:t xml:space="preserve">and working </w:t>
      </w:r>
      <w:r w:rsidR="000D6A88">
        <w:rPr>
          <w:rFonts w:ascii="Century Gothic" w:hAnsi="Century Gothic" w:cstheme="minorHAnsi"/>
          <w:bCs/>
          <w:color w:val="000000" w:themeColor="text1"/>
          <w:lang w:val="en-US"/>
        </w:rPr>
        <w:t>for the e-visit,</w:t>
      </w:r>
      <w:r w:rsidR="00CE1411" w:rsidRPr="00DC3095">
        <w:rPr>
          <w:rFonts w:ascii="Century Gothic" w:hAnsi="Century Gothic" w:cstheme="minorHAnsi"/>
          <w:bCs/>
          <w:color w:val="000000" w:themeColor="text1"/>
          <w:lang w:val="en-US"/>
        </w:rPr>
        <w:t xml:space="preserve"> including access to </w:t>
      </w:r>
      <w:proofErr w:type="gramStart"/>
      <w:r w:rsidR="00CE1411" w:rsidRPr="00DC3095">
        <w:rPr>
          <w:rFonts w:ascii="Century Gothic" w:hAnsi="Century Gothic" w:cstheme="minorHAnsi"/>
          <w:bCs/>
          <w:color w:val="000000" w:themeColor="text1"/>
          <w:lang w:val="en-US"/>
        </w:rPr>
        <w:t>IT</w:t>
      </w:r>
      <w:r w:rsidR="0087178A">
        <w:rPr>
          <w:rFonts w:ascii="Century Gothic" w:hAnsi="Century Gothic" w:cstheme="minorHAnsi"/>
          <w:bCs/>
          <w:color w:val="000000" w:themeColor="text1"/>
          <w:lang w:val="en-US"/>
        </w:rPr>
        <w:t xml:space="preserve"> </w:t>
      </w:r>
      <w:r w:rsidR="003F626F">
        <w:rPr>
          <w:rFonts w:ascii="Century Gothic" w:hAnsi="Century Gothic" w:cstheme="minorHAnsi"/>
          <w:bCs/>
          <w:color w:val="000000" w:themeColor="text1"/>
          <w:lang w:val="en-US"/>
        </w:rPr>
        <w:t>,</w:t>
      </w:r>
      <w:proofErr w:type="gramEnd"/>
      <w:r w:rsidR="003F626F">
        <w:rPr>
          <w:rFonts w:ascii="Century Gothic" w:hAnsi="Century Gothic" w:cstheme="minorHAnsi"/>
          <w:bCs/>
          <w:color w:val="000000" w:themeColor="text1"/>
          <w:lang w:val="en-US"/>
        </w:rPr>
        <w:t xml:space="preserve"> a robust </w:t>
      </w:r>
      <w:r w:rsidR="0087178A">
        <w:rPr>
          <w:rFonts w:ascii="Century Gothic" w:hAnsi="Century Gothic" w:cstheme="minorHAnsi"/>
          <w:bCs/>
          <w:color w:val="000000" w:themeColor="text1"/>
          <w:lang w:val="en-US"/>
        </w:rPr>
        <w:t>Wi-Fi</w:t>
      </w:r>
      <w:r w:rsidR="008568DE">
        <w:rPr>
          <w:rFonts w:ascii="Century Gothic" w:hAnsi="Century Gothic" w:cstheme="minorHAnsi"/>
          <w:bCs/>
          <w:color w:val="000000" w:themeColor="text1"/>
          <w:lang w:val="en-US"/>
        </w:rPr>
        <w:t xml:space="preserve"> </w:t>
      </w:r>
      <w:r w:rsidR="003F626F">
        <w:rPr>
          <w:rFonts w:ascii="Century Gothic" w:hAnsi="Century Gothic" w:cstheme="minorHAnsi"/>
          <w:bCs/>
          <w:color w:val="000000" w:themeColor="text1"/>
          <w:lang w:val="en-US"/>
        </w:rPr>
        <w:t xml:space="preserve">connection </w:t>
      </w:r>
      <w:r w:rsidR="008568DE">
        <w:rPr>
          <w:rFonts w:ascii="Century Gothic" w:hAnsi="Century Gothic" w:cstheme="minorHAnsi"/>
          <w:bCs/>
          <w:color w:val="000000" w:themeColor="text1"/>
          <w:lang w:val="en-US"/>
        </w:rPr>
        <w:t xml:space="preserve">and </w:t>
      </w:r>
      <w:r w:rsidR="00C24EF2">
        <w:rPr>
          <w:rFonts w:ascii="Century Gothic" w:hAnsi="Century Gothic" w:cstheme="minorHAnsi"/>
          <w:bCs/>
          <w:color w:val="000000" w:themeColor="text1"/>
          <w:lang w:val="en-US"/>
        </w:rPr>
        <w:t xml:space="preserve">a </w:t>
      </w:r>
      <w:r w:rsidR="008568DE">
        <w:rPr>
          <w:rFonts w:ascii="Century Gothic" w:hAnsi="Century Gothic" w:cstheme="minorHAnsi"/>
          <w:bCs/>
          <w:color w:val="000000" w:themeColor="text1"/>
          <w:lang w:val="en-US"/>
        </w:rPr>
        <w:t>handheld device</w:t>
      </w:r>
      <w:r w:rsidR="00C24EF2">
        <w:rPr>
          <w:rFonts w:ascii="Century Gothic" w:hAnsi="Century Gothic" w:cstheme="minorHAnsi"/>
          <w:bCs/>
          <w:color w:val="000000" w:themeColor="text1"/>
          <w:lang w:val="en-US"/>
        </w:rPr>
        <w:t xml:space="preserve">, as well as </w:t>
      </w:r>
      <w:r w:rsidR="00041973">
        <w:rPr>
          <w:rFonts w:ascii="Century Gothic" w:hAnsi="Century Gothic" w:cstheme="minorHAnsi"/>
          <w:bCs/>
          <w:color w:val="000000" w:themeColor="text1"/>
          <w:lang w:val="en-US"/>
        </w:rPr>
        <w:t xml:space="preserve">key staff </w:t>
      </w:r>
      <w:r w:rsidR="007B2D67">
        <w:rPr>
          <w:rFonts w:ascii="Century Gothic" w:hAnsi="Century Gothic" w:cstheme="minorHAnsi"/>
          <w:bCs/>
          <w:color w:val="000000" w:themeColor="text1"/>
          <w:lang w:val="en-US"/>
        </w:rPr>
        <w:t xml:space="preserve">present </w:t>
      </w:r>
      <w:r w:rsidR="00041973">
        <w:rPr>
          <w:rFonts w:ascii="Century Gothic" w:hAnsi="Century Gothic" w:cstheme="minorHAnsi"/>
          <w:bCs/>
          <w:color w:val="000000" w:themeColor="text1"/>
          <w:lang w:val="en-US"/>
        </w:rPr>
        <w:t xml:space="preserve">as agreed with the SEQOHS </w:t>
      </w:r>
      <w:r w:rsidR="007B2D67">
        <w:rPr>
          <w:rFonts w:ascii="Century Gothic" w:hAnsi="Century Gothic" w:cstheme="minorHAnsi"/>
          <w:bCs/>
          <w:color w:val="000000" w:themeColor="text1"/>
          <w:lang w:val="en-US"/>
        </w:rPr>
        <w:t>assessment team.</w:t>
      </w:r>
    </w:p>
    <w:p w14:paraId="002C802F" w14:textId="25B1E089" w:rsidR="00CE1411" w:rsidRPr="00A95BCF" w:rsidRDefault="00CE1411" w:rsidP="005C15AC">
      <w:pPr>
        <w:pStyle w:val="Heading1"/>
      </w:pPr>
      <w:r w:rsidRPr="00A95BCF">
        <w:t xml:space="preserve">Cancellation of </w:t>
      </w:r>
      <w:r w:rsidR="00D603DE">
        <w:t>the SEQOHS accreditation e-visit</w:t>
      </w:r>
    </w:p>
    <w:p w14:paraId="1098E973" w14:textId="792FE8A2" w:rsidR="00CE1411" w:rsidRPr="005E3F87" w:rsidRDefault="00A81357"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 xml:space="preserve">Once </w:t>
      </w:r>
      <w:r w:rsidR="00FF2E30">
        <w:rPr>
          <w:rFonts w:ascii="Century Gothic" w:hAnsi="Century Gothic" w:cstheme="minorHAnsi"/>
          <w:bCs/>
          <w:color w:val="000000" w:themeColor="text1"/>
          <w:sz w:val="22"/>
          <w:szCs w:val="22"/>
          <w:lang w:val="en-US"/>
        </w:rPr>
        <w:t>the date of the SEQOHS accreditation e-visit has been agreed by the Service</w:t>
      </w:r>
      <w:r w:rsidR="00BA13EA">
        <w:rPr>
          <w:rFonts w:ascii="Century Gothic" w:hAnsi="Century Gothic" w:cstheme="minorHAnsi"/>
          <w:bCs/>
          <w:color w:val="000000" w:themeColor="text1"/>
          <w:sz w:val="22"/>
          <w:szCs w:val="22"/>
          <w:lang w:val="en-US"/>
        </w:rPr>
        <w:t xml:space="preserve">, </w:t>
      </w:r>
      <w:r w:rsidR="00FF2E30">
        <w:rPr>
          <w:rFonts w:ascii="Century Gothic" w:hAnsi="Century Gothic" w:cstheme="minorHAnsi"/>
          <w:bCs/>
          <w:color w:val="000000" w:themeColor="text1"/>
          <w:sz w:val="22"/>
          <w:szCs w:val="22"/>
          <w:lang w:val="en-US"/>
        </w:rPr>
        <w:t xml:space="preserve">SEQOHS </w:t>
      </w:r>
      <w:r w:rsidR="00BA13EA">
        <w:rPr>
          <w:rFonts w:ascii="Century Gothic" w:hAnsi="Century Gothic" w:cstheme="minorHAnsi"/>
          <w:bCs/>
          <w:color w:val="000000" w:themeColor="text1"/>
          <w:sz w:val="22"/>
          <w:szCs w:val="22"/>
          <w:lang w:val="en-US"/>
        </w:rPr>
        <w:t>A</w:t>
      </w:r>
      <w:r w:rsidR="00FF2E30">
        <w:rPr>
          <w:rFonts w:ascii="Century Gothic" w:hAnsi="Century Gothic" w:cstheme="minorHAnsi"/>
          <w:bCs/>
          <w:color w:val="000000" w:themeColor="text1"/>
          <w:sz w:val="22"/>
          <w:szCs w:val="22"/>
          <w:lang w:val="en-US"/>
        </w:rPr>
        <w:t xml:space="preserve">ssessors are </w:t>
      </w:r>
      <w:r w:rsidR="00BA13EA">
        <w:rPr>
          <w:rFonts w:ascii="Century Gothic" w:hAnsi="Century Gothic" w:cstheme="minorHAnsi"/>
          <w:bCs/>
          <w:color w:val="000000" w:themeColor="text1"/>
          <w:sz w:val="22"/>
          <w:szCs w:val="22"/>
          <w:lang w:val="en-US"/>
        </w:rPr>
        <w:t>appointed</w:t>
      </w:r>
      <w:r w:rsidR="00FF2E30">
        <w:rPr>
          <w:rFonts w:ascii="Century Gothic" w:hAnsi="Century Gothic" w:cstheme="minorHAnsi"/>
          <w:bCs/>
          <w:color w:val="000000" w:themeColor="text1"/>
          <w:sz w:val="22"/>
          <w:szCs w:val="22"/>
          <w:lang w:val="en-US"/>
        </w:rPr>
        <w:t xml:space="preserve"> to carry out th</w:t>
      </w:r>
      <w:r w:rsidR="007A4756">
        <w:rPr>
          <w:rFonts w:ascii="Century Gothic" w:hAnsi="Century Gothic" w:cstheme="minorHAnsi"/>
          <w:bCs/>
          <w:color w:val="000000" w:themeColor="text1"/>
          <w:sz w:val="22"/>
          <w:szCs w:val="22"/>
          <w:lang w:val="en-US"/>
        </w:rPr>
        <w:t>e</w:t>
      </w:r>
      <w:r w:rsidR="00FF2E30">
        <w:rPr>
          <w:rFonts w:ascii="Century Gothic" w:hAnsi="Century Gothic" w:cstheme="minorHAnsi"/>
          <w:bCs/>
          <w:color w:val="000000" w:themeColor="text1"/>
          <w:sz w:val="22"/>
          <w:szCs w:val="22"/>
          <w:lang w:val="en-US"/>
        </w:rPr>
        <w:t xml:space="preserve"> work.</w:t>
      </w:r>
      <w:r w:rsidR="00A86BEF">
        <w:rPr>
          <w:rFonts w:ascii="Century Gothic" w:hAnsi="Century Gothic" w:cstheme="minorHAnsi"/>
          <w:bCs/>
          <w:color w:val="000000" w:themeColor="text1"/>
          <w:sz w:val="22"/>
          <w:szCs w:val="22"/>
          <w:lang w:val="en-US"/>
        </w:rPr>
        <w:t xml:space="preserve"> </w:t>
      </w:r>
      <w:r w:rsidR="00F75CDD">
        <w:rPr>
          <w:rFonts w:ascii="Century Gothic" w:hAnsi="Century Gothic" w:cstheme="minorHAnsi"/>
          <w:bCs/>
          <w:color w:val="000000" w:themeColor="text1"/>
          <w:sz w:val="22"/>
          <w:szCs w:val="22"/>
          <w:lang w:val="en-US"/>
        </w:rPr>
        <w:t xml:space="preserve">In the event of cancellation or </w:t>
      </w:r>
      <w:r w:rsidR="00B97BB4">
        <w:rPr>
          <w:rFonts w:ascii="Century Gothic" w:hAnsi="Century Gothic" w:cstheme="minorHAnsi"/>
          <w:bCs/>
          <w:color w:val="000000" w:themeColor="text1"/>
          <w:sz w:val="22"/>
          <w:szCs w:val="22"/>
          <w:lang w:val="en-US"/>
        </w:rPr>
        <w:t xml:space="preserve">postponement </w:t>
      </w:r>
      <w:r w:rsidR="00F75CDD">
        <w:rPr>
          <w:rFonts w:ascii="Century Gothic" w:hAnsi="Century Gothic" w:cstheme="minorHAnsi"/>
          <w:bCs/>
          <w:color w:val="000000" w:themeColor="text1"/>
          <w:sz w:val="22"/>
          <w:szCs w:val="22"/>
          <w:lang w:val="en-US"/>
        </w:rPr>
        <w:t>by the Service, t</w:t>
      </w:r>
      <w:r w:rsidR="00CE1411" w:rsidRPr="005B0AD6">
        <w:rPr>
          <w:rFonts w:ascii="Century Gothic" w:hAnsi="Century Gothic" w:cstheme="minorHAnsi"/>
          <w:bCs/>
          <w:color w:val="000000" w:themeColor="text1"/>
          <w:sz w:val="22"/>
          <w:szCs w:val="22"/>
          <w:lang w:val="en-US"/>
        </w:rPr>
        <w:t xml:space="preserve">he following cancellation </w:t>
      </w:r>
      <w:r w:rsidR="009B0E87">
        <w:rPr>
          <w:rFonts w:ascii="Century Gothic" w:hAnsi="Century Gothic" w:cstheme="minorHAnsi"/>
          <w:bCs/>
          <w:color w:val="000000" w:themeColor="text1"/>
          <w:sz w:val="22"/>
          <w:szCs w:val="22"/>
          <w:lang w:val="en-US"/>
        </w:rPr>
        <w:t>charges</w:t>
      </w:r>
      <w:r w:rsidR="00CE1411" w:rsidRPr="005B0AD6">
        <w:rPr>
          <w:rFonts w:ascii="Century Gothic" w:hAnsi="Century Gothic" w:cstheme="minorHAnsi"/>
          <w:bCs/>
          <w:color w:val="000000" w:themeColor="text1"/>
          <w:sz w:val="22"/>
          <w:szCs w:val="22"/>
          <w:lang w:val="en-US"/>
        </w:rPr>
        <w:t xml:space="preserve"> </w:t>
      </w:r>
      <w:r w:rsidR="000D70A6">
        <w:rPr>
          <w:rFonts w:ascii="Century Gothic" w:hAnsi="Century Gothic" w:cstheme="minorHAnsi"/>
          <w:bCs/>
          <w:color w:val="000000" w:themeColor="text1"/>
          <w:sz w:val="22"/>
          <w:szCs w:val="22"/>
          <w:lang w:val="en-US"/>
        </w:rPr>
        <w:t xml:space="preserve">will </w:t>
      </w:r>
      <w:r w:rsidR="00CE1411" w:rsidRPr="005B0AD6">
        <w:rPr>
          <w:rFonts w:ascii="Century Gothic" w:hAnsi="Century Gothic" w:cstheme="minorHAnsi"/>
          <w:bCs/>
          <w:color w:val="000000" w:themeColor="text1"/>
          <w:sz w:val="22"/>
          <w:szCs w:val="22"/>
          <w:lang w:val="en-US"/>
        </w:rPr>
        <w:t>apply:</w:t>
      </w:r>
    </w:p>
    <w:p w14:paraId="55409141" w14:textId="2310E940" w:rsidR="00CE1411" w:rsidRPr="005B0AD6" w:rsidRDefault="00CE1411" w:rsidP="000733F0">
      <w:pPr>
        <w:pStyle w:val="ListParagraph"/>
        <w:numPr>
          <w:ilvl w:val="1"/>
          <w:numId w:val="16"/>
        </w:numPr>
        <w:spacing w:before="120" w:line="288" w:lineRule="auto"/>
        <w:ind w:left="567" w:hanging="283"/>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More than 30 days’ notice: 25% of the</w:t>
      </w:r>
      <w:r w:rsidR="009B0E87">
        <w:rPr>
          <w:rFonts w:ascii="Century Gothic" w:hAnsi="Century Gothic" w:cstheme="minorHAnsi"/>
          <w:bCs/>
          <w:color w:val="000000" w:themeColor="text1"/>
          <w:lang w:val="en-US"/>
        </w:rPr>
        <w:t xml:space="preserve"> </w:t>
      </w:r>
      <w:r w:rsidR="00F077D3">
        <w:rPr>
          <w:rFonts w:ascii="Century Gothic" w:hAnsi="Century Gothic" w:cstheme="minorHAnsi"/>
          <w:bCs/>
          <w:color w:val="000000" w:themeColor="text1"/>
          <w:lang w:val="en-US"/>
        </w:rPr>
        <w:t xml:space="preserve">current </w:t>
      </w:r>
      <w:r w:rsidR="00647468">
        <w:rPr>
          <w:rFonts w:ascii="Century Gothic" w:hAnsi="Century Gothic" w:cstheme="minorHAnsi"/>
          <w:bCs/>
          <w:color w:val="000000" w:themeColor="text1"/>
          <w:lang w:val="en-US"/>
        </w:rPr>
        <w:t xml:space="preserve">Stage 2 </w:t>
      </w:r>
      <w:r w:rsidRPr="005B0AD6">
        <w:rPr>
          <w:rFonts w:ascii="Century Gothic" w:hAnsi="Century Gothic" w:cstheme="minorHAnsi"/>
          <w:bCs/>
          <w:color w:val="000000" w:themeColor="text1"/>
          <w:lang w:val="en-US"/>
        </w:rPr>
        <w:t>fee</w:t>
      </w:r>
    </w:p>
    <w:p w14:paraId="29115876" w14:textId="4E9095C0" w:rsidR="00CE1411" w:rsidRPr="005B0AD6" w:rsidRDefault="00CE1411" w:rsidP="000733F0">
      <w:pPr>
        <w:pStyle w:val="ListParagraph"/>
        <w:numPr>
          <w:ilvl w:val="1"/>
          <w:numId w:val="16"/>
        </w:numPr>
        <w:spacing w:before="120" w:line="288" w:lineRule="auto"/>
        <w:ind w:left="567" w:hanging="283"/>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More than 14</w:t>
      </w:r>
      <w:r w:rsidR="00DC7517">
        <w:rPr>
          <w:rFonts w:ascii="Century Gothic" w:hAnsi="Century Gothic" w:cstheme="minorHAnsi"/>
          <w:bCs/>
          <w:color w:val="000000" w:themeColor="text1"/>
          <w:lang w:val="en-US"/>
        </w:rPr>
        <w:t xml:space="preserve"> days</w:t>
      </w:r>
      <w:r w:rsidRPr="005B0AD6">
        <w:rPr>
          <w:rFonts w:ascii="Century Gothic" w:hAnsi="Century Gothic" w:cstheme="minorHAnsi"/>
          <w:bCs/>
          <w:color w:val="000000" w:themeColor="text1"/>
          <w:lang w:val="en-US"/>
        </w:rPr>
        <w:t xml:space="preserve">, but less than 30 days’ notice: 50% of the </w:t>
      </w:r>
      <w:r w:rsidR="00F077D3">
        <w:rPr>
          <w:rFonts w:ascii="Century Gothic" w:hAnsi="Century Gothic" w:cstheme="minorHAnsi"/>
          <w:bCs/>
          <w:color w:val="000000" w:themeColor="text1"/>
          <w:lang w:val="en-US"/>
        </w:rPr>
        <w:t xml:space="preserve">current </w:t>
      </w:r>
      <w:r w:rsidR="009F7A37">
        <w:rPr>
          <w:rFonts w:ascii="Century Gothic" w:hAnsi="Century Gothic" w:cstheme="minorHAnsi"/>
          <w:bCs/>
          <w:color w:val="000000" w:themeColor="text1"/>
          <w:lang w:val="en-US"/>
        </w:rPr>
        <w:t>Stage 2 fee</w:t>
      </w:r>
    </w:p>
    <w:p w14:paraId="197B6549" w14:textId="5771C991" w:rsidR="00CE1411" w:rsidRDefault="00CE1411" w:rsidP="000733F0">
      <w:pPr>
        <w:pStyle w:val="ListParagraph"/>
        <w:numPr>
          <w:ilvl w:val="1"/>
          <w:numId w:val="16"/>
        </w:numPr>
        <w:spacing w:before="120" w:line="288" w:lineRule="auto"/>
        <w:ind w:left="567" w:hanging="283"/>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 xml:space="preserve">14 days, or less, notice: 100% of the </w:t>
      </w:r>
      <w:r w:rsidR="00F077D3">
        <w:rPr>
          <w:rFonts w:ascii="Century Gothic" w:hAnsi="Century Gothic" w:cstheme="minorHAnsi"/>
          <w:bCs/>
          <w:color w:val="000000" w:themeColor="text1"/>
          <w:lang w:val="en-US"/>
        </w:rPr>
        <w:t xml:space="preserve">current </w:t>
      </w:r>
      <w:r w:rsidR="009F7A37">
        <w:rPr>
          <w:rFonts w:ascii="Century Gothic" w:hAnsi="Century Gothic" w:cstheme="minorHAnsi"/>
          <w:bCs/>
          <w:color w:val="000000" w:themeColor="text1"/>
          <w:lang w:val="en-US"/>
        </w:rPr>
        <w:t>Stage 2 fee</w:t>
      </w:r>
    </w:p>
    <w:p w14:paraId="78AC9529" w14:textId="41D2F804" w:rsidR="000D70A6" w:rsidRPr="00E24899" w:rsidRDefault="000D70A6" w:rsidP="000D70A6">
      <w:pPr>
        <w:spacing w:before="120" w:line="288" w:lineRule="auto"/>
        <w:rPr>
          <w:rFonts w:ascii="Century Gothic" w:hAnsi="Century Gothic" w:cstheme="minorHAnsi"/>
          <w:bCs/>
          <w:color w:val="000000" w:themeColor="text1"/>
          <w:sz w:val="22"/>
          <w:szCs w:val="22"/>
          <w:lang w:val="en-US"/>
        </w:rPr>
      </w:pPr>
      <w:r w:rsidRPr="00E24899">
        <w:rPr>
          <w:rFonts w:ascii="Century Gothic" w:hAnsi="Century Gothic" w:cstheme="minorHAnsi"/>
          <w:bCs/>
          <w:color w:val="000000" w:themeColor="text1"/>
          <w:sz w:val="22"/>
          <w:szCs w:val="22"/>
          <w:lang w:val="en-US"/>
        </w:rPr>
        <w:t xml:space="preserve">The </w:t>
      </w:r>
      <w:r w:rsidR="00F077D3">
        <w:rPr>
          <w:rFonts w:ascii="Century Gothic" w:hAnsi="Century Gothic" w:cstheme="minorHAnsi"/>
          <w:bCs/>
          <w:color w:val="000000" w:themeColor="text1"/>
          <w:sz w:val="22"/>
          <w:szCs w:val="22"/>
          <w:lang w:val="en-US"/>
        </w:rPr>
        <w:t xml:space="preserve">current </w:t>
      </w:r>
      <w:r w:rsidRPr="00E24899">
        <w:rPr>
          <w:rFonts w:ascii="Century Gothic" w:hAnsi="Century Gothic" w:cstheme="minorHAnsi"/>
          <w:bCs/>
          <w:color w:val="000000" w:themeColor="text1"/>
          <w:sz w:val="22"/>
          <w:szCs w:val="22"/>
          <w:lang w:val="en-US"/>
        </w:rPr>
        <w:t xml:space="preserve">Stage 2 fee is </w:t>
      </w:r>
      <w:r w:rsidR="00E24899" w:rsidRPr="00E24899">
        <w:rPr>
          <w:rFonts w:ascii="Century Gothic" w:hAnsi="Century Gothic" w:cstheme="minorHAnsi"/>
          <w:bCs/>
          <w:color w:val="000000" w:themeColor="text1"/>
          <w:sz w:val="22"/>
          <w:szCs w:val="22"/>
          <w:lang w:val="en-US"/>
        </w:rPr>
        <w:t>published on the SEQOHS website.</w:t>
      </w:r>
    </w:p>
    <w:p w14:paraId="5B43EBE8" w14:textId="7C2DDEA9" w:rsidR="00A26D9F" w:rsidRDefault="00A26D9F" w:rsidP="005C15AC">
      <w:pPr>
        <w:pStyle w:val="Heading1"/>
      </w:pPr>
      <w:r>
        <w:t>SEQOHS accreditation</w:t>
      </w:r>
    </w:p>
    <w:p w14:paraId="58EEA768" w14:textId="30CE90DC" w:rsidR="0087178A" w:rsidRPr="005B0AD6" w:rsidRDefault="00A26D9F"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The SEQOHS accreditation certificate remains valid for five years from the date of issue, subject to satisfactory annual </w:t>
      </w:r>
      <w:r w:rsidR="00F76F48">
        <w:rPr>
          <w:rFonts w:ascii="Century Gothic" w:hAnsi="Century Gothic" w:cstheme="minorHAnsi"/>
          <w:bCs/>
          <w:color w:val="000000" w:themeColor="text1"/>
          <w:sz w:val="22"/>
          <w:szCs w:val="22"/>
          <w:lang w:val="en-US"/>
        </w:rPr>
        <w:t xml:space="preserve">reviews </w:t>
      </w:r>
      <w:r w:rsidRPr="005B0AD6">
        <w:rPr>
          <w:rFonts w:ascii="Century Gothic" w:hAnsi="Century Gothic" w:cstheme="minorHAnsi"/>
          <w:bCs/>
          <w:color w:val="000000" w:themeColor="text1"/>
          <w:sz w:val="22"/>
          <w:szCs w:val="22"/>
          <w:lang w:val="en-US"/>
        </w:rPr>
        <w:t xml:space="preserve">and payment of the annual </w:t>
      </w:r>
      <w:r w:rsidR="00F76F48">
        <w:rPr>
          <w:rFonts w:ascii="Century Gothic" w:hAnsi="Century Gothic" w:cstheme="minorHAnsi"/>
          <w:bCs/>
          <w:color w:val="000000" w:themeColor="text1"/>
          <w:sz w:val="22"/>
          <w:szCs w:val="22"/>
          <w:lang w:val="en-US"/>
        </w:rPr>
        <w:t xml:space="preserve">Stage 2 </w:t>
      </w:r>
      <w:r w:rsidRPr="005B0AD6">
        <w:rPr>
          <w:rFonts w:ascii="Century Gothic" w:hAnsi="Century Gothic" w:cstheme="minorHAnsi"/>
          <w:bCs/>
          <w:color w:val="000000" w:themeColor="text1"/>
          <w:sz w:val="22"/>
          <w:szCs w:val="22"/>
          <w:lang w:val="en-US"/>
        </w:rPr>
        <w:t>fee.</w:t>
      </w:r>
    </w:p>
    <w:p w14:paraId="57BE0B48" w14:textId="5652F267" w:rsidR="00A26D9F" w:rsidRPr="005B0AD6" w:rsidRDefault="00120EDB"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The Service</w:t>
      </w:r>
      <w:r w:rsidR="00A26D9F" w:rsidRPr="005B0AD6">
        <w:rPr>
          <w:rFonts w:ascii="Century Gothic" w:hAnsi="Century Gothic" w:cstheme="minorHAnsi"/>
          <w:bCs/>
          <w:color w:val="000000" w:themeColor="text1"/>
          <w:sz w:val="22"/>
          <w:szCs w:val="22"/>
          <w:lang w:val="en-US"/>
        </w:rPr>
        <w:t xml:space="preserve"> will be required to </w:t>
      </w:r>
      <w:r w:rsidR="00C86063">
        <w:rPr>
          <w:rFonts w:ascii="Century Gothic" w:hAnsi="Century Gothic" w:cstheme="minorHAnsi"/>
          <w:bCs/>
          <w:color w:val="000000" w:themeColor="text1"/>
          <w:sz w:val="22"/>
          <w:szCs w:val="22"/>
          <w:lang w:val="en-US"/>
        </w:rPr>
        <w:t>re-</w:t>
      </w:r>
      <w:proofErr w:type="gramStart"/>
      <w:r w:rsidR="00C86063">
        <w:rPr>
          <w:rFonts w:ascii="Century Gothic" w:hAnsi="Century Gothic" w:cstheme="minorHAnsi"/>
          <w:bCs/>
          <w:color w:val="000000" w:themeColor="text1"/>
          <w:sz w:val="22"/>
          <w:szCs w:val="22"/>
          <w:lang w:val="en-US"/>
        </w:rPr>
        <w:t xml:space="preserve">accredit </w:t>
      </w:r>
      <w:r w:rsidR="00A26D9F" w:rsidRPr="005B0AD6">
        <w:rPr>
          <w:rFonts w:ascii="Century Gothic" w:hAnsi="Century Gothic" w:cstheme="minorHAnsi"/>
          <w:bCs/>
          <w:color w:val="000000" w:themeColor="text1"/>
          <w:sz w:val="22"/>
          <w:szCs w:val="22"/>
          <w:lang w:val="en-US"/>
        </w:rPr>
        <w:t xml:space="preserve"> </w:t>
      </w:r>
      <w:r w:rsidR="0087178A" w:rsidRPr="005B0AD6">
        <w:rPr>
          <w:rFonts w:ascii="Century Gothic" w:hAnsi="Century Gothic" w:cstheme="minorHAnsi"/>
          <w:bCs/>
          <w:color w:val="000000" w:themeColor="text1"/>
          <w:sz w:val="22"/>
          <w:szCs w:val="22"/>
          <w:lang w:val="en-US"/>
        </w:rPr>
        <w:t>every</w:t>
      </w:r>
      <w:proofErr w:type="gramEnd"/>
      <w:r w:rsidR="0087178A" w:rsidRPr="005B0AD6">
        <w:rPr>
          <w:rFonts w:ascii="Century Gothic" w:hAnsi="Century Gothic" w:cstheme="minorHAnsi"/>
          <w:bCs/>
          <w:color w:val="000000" w:themeColor="text1"/>
          <w:sz w:val="22"/>
          <w:szCs w:val="22"/>
          <w:lang w:val="en-US"/>
        </w:rPr>
        <w:t xml:space="preserve"> five years in order</w:t>
      </w:r>
      <w:r w:rsidR="00A26D9F" w:rsidRPr="005B0AD6">
        <w:rPr>
          <w:rFonts w:ascii="Century Gothic" w:hAnsi="Century Gothic" w:cstheme="minorHAnsi"/>
          <w:bCs/>
          <w:color w:val="000000" w:themeColor="text1"/>
          <w:sz w:val="22"/>
          <w:szCs w:val="22"/>
          <w:lang w:val="en-US"/>
        </w:rPr>
        <w:t xml:space="preserve"> </w:t>
      </w:r>
      <w:r w:rsidR="0087178A" w:rsidRPr="005B0AD6">
        <w:rPr>
          <w:rFonts w:ascii="Century Gothic" w:hAnsi="Century Gothic" w:cstheme="minorHAnsi"/>
          <w:bCs/>
          <w:color w:val="000000" w:themeColor="text1"/>
          <w:sz w:val="22"/>
          <w:szCs w:val="22"/>
          <w:lang w:val="en-US"/>
        </w:rPr>
        <w:t xml:space="preserve">to </w:t>
      </w:r>
      <w:r w:rsidR="00C86063">
        <w:rPr>
          <w:rFonts w:ascii="Century Gothic" w:hAnsi="Century Gothic" w:cstheme="minorHAnsi"/>
          <w:bCs/>
          <w:color w:val="000000" w:themeColor="text1"/>
          <w:sz w:val="22"/>
          <w:szCs w:val="22"/>
          <w:lang w:val="en-US"/>
        </w:rPr>
        <w:t xml:space="preserve">maintain </w:t>
      </w:r>
      <w:r w:rsidR="006653AC">
        <w:rPr>
          <w:rFonts w:ascii="Century Gothic" w:hAnsi="Century Gothic" w:cstheme="minorHAnsi"/>
          <w:bCs/>
          <w:color w:val="000000" w:themeColor="text1"/>
          <w:sz w:val="22"/>
          <w:szCs w:val="22"/>
          <w:lang w:val="en-US"/>
        </w:rPr>
        <w:t>its</w:t>
      </w:r>
      <w:r w:rsidR="00C86063">
        <w:rPr>
          <w:rFonts w:ascii="Century Gothic" w:hAnsi="Century Gothic" w:cstheme="minorHAnsi"/>
          <w:bCs/>
          <w:color w:val="000000" w:themeColor="text1"/>
          <w:sz w:val="22"/>
          <w:szCs w:val="22"/>
          <w:lang w:val="en-US"/>
        </w:rPr>
        <w:t xml:space="preserve"> accreditation.</w:t>
      </w:r>
    </w:p>
    <w:p w14:paraId="30C3A77E" w14:textId="45092996" w:rsidR="00A26D9F" w:rsidRPr="005B0AD6" w:rsidRDefault="00A26D9F"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In the event of withdrawal </w:t>
      </w:r>
      <w:r w:rsidR="00127A05">
        <w:rPr>
          <w:rFonts w:ascii="Century Gothic" w:hAnsi="Century Gothic" w:cstheme="minorHAnsi"/>
          <w:bCs/>
          <w:color w:val="000000" w:themeColor="text1"/>
          <w:sz w:val="22"/>
          <w:szCs w:val="22"/>
          <w:lang w:val="en-US"/>
        </w:rPr>
        <w:t xml:space="preserve">from </w:t>
      </w:r>
      <w:r w:rsidRPr="005B0AD6">
        <w:rPr>
          <w:rFonts w:ascii="Century Gothic" w:hAnsi="Century Gothic" w:cstheme="minorHAnsi"/>
          <w:bCs/>
          <w:color w:val="000000" w:themeColor="text1"/>
          <w:sz w:val="22"/>
          <w:szCs w:val="22"/>
          <w:lang w:val="en-US"/>
        </w:rPr>
        <w:t>accreditation</w:t>
      </w:r>
      <w:r w:rsidR="00602ADB">
        <w:rPr>
          <w:rFonts w:ascii="Century Gothic" w:hAnsi="Century Gothic" w:cstheme="minorHAnsi"/>
          <w:bCs/>
          <w:color w:val="000000" w:themeColor="text1"/>
          <w:sz w:val="22"/>
          <w:szCs w:val="22"/>
          <w:lang w:val="en-US"/>
        </w:rPr>
        <w:t>,</w:t>
      </w:r>
      <w:r w:rsidRPr="005B0AD6">
        <w:rPr>
          <w:rFonts w:ascii="Century Gothic" w:hAnsi="Century Gothic" w:cstheme="minorHAnsi"/>
          <w:bCs/>
          <w:color w:val="000000" w:themeColor="text1"/>
          <w:sz w:val="22"/>
          <w:szCs w:val="22"/>
          <w:lang w:val="en-US"/>
        </w:rPr>
        <w:t xml:space="preserve"> or non-successful reaccreditation</w:t>
      </w:r>
      <w:r w:rsidR="00602ADB">
        <w:rPr>
          <w:rFonts w:ascii="Century Gothic" w:hAnsi="Century Gothic" w:cstheme="minorHAnsi"/>
          <w:bCs/>
          <w:color w:val="000000" w:themeColor="text1"/>
          <w:sz w:val="22"/>
          <w:szCs w:val="22"/>
          <w:lang w:val="en-US"/>
        </w:rPr>
        <w:t xml:space="preserve">, </w:t>
      </w:r>
      <w:r w:rsidRPr="005B0AD6">
        <w:rPr>
          <w:rFonts w:ascii="Century Gothic" w:hAnsi="Century Gothic" w:cstheme="minorHAnsi"/>
          <w:bCs/>
          <w:color w:val="000000" w:themeColor="text1"/>
          <w:sz w:val="22"/>
          <w:szCs w:val="22"/>
          <w:lang w:val="en-US"/>
        </w:rPr>
        <w:t xml:space="preserve">the </w:t>
      </w:r>
      <w:r w:rsidR="006653AC">
        <w:rPr>
          <w:rFonts w:ascii="Century Gothic" w:hAnsi="Century Gothic" w:cstheme="minorHAnsi"/>
          <w:bCs/>
          <w:color w:val="000000" w:themeColor="text1"/>
          <w:sz w:val="22"/>
          <w:szCs w:val="22"/>
          <w:lang w:val="en-US"/>
        </w:rPr>
        <w:t xml:space="preserve">Service </w:t>
      </w:r>
      <w:r w:rsidRPr="005B0AD6">
        <w:rPr>
          <w:rFonts w:ascii="Century Gothic" w:hAnsi="Century Gothic" w:cstheme="minorHAnsi"/>
          <w:bCs/>
          <w:color w:val="000000" w:themeColor="text1"/>
          <w:sz w:val="22"/>
          <w:szCs w:val="22"/>
          <w:lang w:val="en-US"/>
        </w:rPr>
        <w:t xml:space="preserve">will not </w:t>
      </w:r>
      <w:r w:rsidR="00EF0AD6">
        <w:rPr>
          <w:rFonts w:ascii="Century Gothic" w:hAnsi="Century Gothic" w:cstheme="minorHAnsi"/>
          <w:bCs/>
          <w:color w:val="000000" w:themeColor="text1"/>
          <w:sz w:val="22"/>
          <w:szCs w:val="22"/>
          <w:lang w:val="en-US"/>
        </w:rPr>
        <w:t xml:space="preserve">continue to </w:t>
      </w:r>
      <w:r w:rsidR="00CD3F96">
        <w:rPr>
          <w:rFonts w:ascii="Century Gothic" w:hAnsi="Century Gothic" w:cstheme="minorHAnsi"/>
          <w:bCs/>
          <w:color w:val="000000" w:themeColor="text1"/>
          <w:sz w:val="22"/>
          <w:szCs w:val="22"/>
          <w:lang w:val="en-US"/>
        </w:rPr>
        <w:t>claim</w:t>
      </w:r>
      <w:r w:rsidRPr="005B0AD6">
        <w:rPr>
          <w:rFonts w:ascii="Century Gothic" w:hAnsi="Century Gothic" w:cstheme="minorHAnsi"/>
          <w:bCs/>
          <w:color w:val="000000" w:themeColor="text1"/>
          <w:sz w:val="22"/>
          <w:szCs w:val="22"/>
          <w:lang w:val="en-US"/>
        </w:rPr>
        <w:t xml:space="preserve"> SEQOHS accreditation status </w:t>
      </w:r>
      <w:r w:rsidR="00CD3F96">
        <w:rPr>
          <w:rFonts w:ascii="Century Gothic" w:hAnsi="Century Gothic" w:cstheme="minorHAnsi"/>
          <w:bCs/>
          <w:color w:val="000000" w:themeColor="text1"/>
          <w:sz w:val="22"/>
          <w:szCs w:val="22"/>
          <w:lang w:val="en-US"/>
        </w:rPr>
        <w:t xml:space="preserve">or use </w:t>
      </w:r>
      <w:r w:rsidR="00FC79DD">
        <w:rPr>
          <w:rFonts w:ascii="Century Gothic" w:hAnsi="Century Gothic" w:cstheme="minorHAnsi"/>
          <w:bCs/>
          <w:color w:val="000000" w:themeColor="text1"/>
          <w:sz w:val="22"/>
          <w:szCs w:val="22"/>
          <w:lang w:val="en-US"/>
        </w:rPr>
        <w:t xml:space="preserve">SEQOHS logos </w:t>
      </w:r>
      <w:r w:rsidR="00EF0AD6">
        <w:rPr>
          <w:rFonts w:ascii="Century Gothic" w:hAnsi="Century Gothic" w:cstheme="minorHAnsi"/>
          <w:bCs/>
          <w:color w:val="000000" w:themeColor="text1"/>
          <w:sz w:val="22"/>
          <w:szCs w:val="22"/>
          <w:lang w:val="en-US"/>
        </w:rPr>
        <w:t xml:space="preserve">in any form or in any media. </w:t>
      </w:r>
    </w:p>
    <w:p w14:paraId="73E63ED5" w14:textId="787C97D6" w:rsidR="00A0473D" w:rsidRPr="005B0AD6" w:rsidRDefault="00BE2745"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 xml:space="preserve">The </w:t>
      </w:r>
      <w:r w:rsidR="0065709C">
        <w:rPr>
          <w:rFonts w:ascii="Century Gothic" w:hAnsi="Century Gothic" w:cstheme="minorHAnsi"/>
          <w:bCs/>
          <w:color w:val="000000" w:themeColor="text1"/>
          <w:sz w:val="22"/>
          <w:szCs w:val="22"/>
          <w:lang w:val="en-US"/>
        </w:rPr>
        <w:t xml:space="preserve">accredited </w:t>
      </w:r>
      <w:r>
        <w:rPr>
          <w:rFonts w:ascii="Century Gothic" w:hAnsi="Century Gothic" w:cstheme="minorHAnsi"/>
          <w:bCs/>
          <w:color w:val="000000" w:themeColor="text1"/>
          <w:sz w:val="22"/>
          <w:szCs w:val="22"/>
          <w:lang w:val="en-US"/>
        </w:rPr>
        <w:t xml:space="preserve">Service </w:t>
      </w:r>
      <w:r w:rsidR="00A26D9F" w:rsidRPr="005B0AD6">
        <w:rPr>
          <w:rFonts w:ascii="Century Gothic" w:hAnsi="Century Gothic" w:cstheme="minorHAnsi"/>
          <w:bCs/>
          <w:color w:val="000000" w:themeColor="text1"/>
          <w:sz w:val="22"/>
          <w:szCs w:val="22"/>
          <w:lang w:val="en-US"/>
        </w:rPr>
        <w:t>receive</w:t>
      </w:r>
      <w:r w:rsidR="0065709C">
        <w:rPr>
          <w:rFonts w:ascii="Century Gothic" w:hAnsi="Century Gothic" w:cstheme="minorHAnsi"/>
          <w:bCs/>
          <w:color w:val="000000" w:themeColor="text1"/>
          <w:sz w:val="22"/>
          <w:szCs w:val="22"/>
          <w:lang w:val="en-US"/>
        </w:rPr>
        <w:t>s</w:t>
      </w:r>
      <w:r w:rsidR="00A26D9F" w:rsidRPr="005B0AD6">
        <w:rPr>
          <w:rFonts w:ascii="Century Gothic" w:hAnsi="Century Gothic" w:cstheme="minorHAnsi"/>
          <w:bCs/>
          <w:color w:val="000000" w:themeColor="text1"/>
          <w:sz w:val="22"/>
          <w:szCs w:val="22"/>
          <w:lang w:val="en-US"/>
        </w:rPr>
        <w:t xml:space="preserve"> SEQOHS accreditation based on the </w:t>
      </w:r>
      <w:r w:rsidR="00F725BF">
        <w:rPr>
          <w:rFonts w:ascii="Century Gothic" w:hAnsi="Century Gothic" w:cstheme="minorHAnsi"/>
          <w:bCs/>
          <w:color w:val="000000" w:themeColor="text1"/>
          <w:sz w:val="22"/>
          <w:szCs w:val="22"/>
          <w:lang w:val="en-US"/>
        </w:rPr>
        <w:t xml:space="preserve">evidence submitted. </w:t>
      </w:r>
      <w:r w:rsidR="00A26D9F" w:rsidRPr="005B0AD6">
        <w:rPr>
          <w:rFonts w:ascii="Century Gothic" w:hAnsi="Century Gothic" w:cstheme="minorHAnsi"/>
          <w:bCs/>
          <w:color w:val="000000" w:themeColor="text1"/>
          <w:sz w:val="22"/>
          <w:szCs w:val="22"/>
          <w:lang w:val="en-US"/>
        </w:rPr>
        <w:t>SEQOHS accreditation does not provide a guarantee</w:t>
      </w:r>
      <w:r w:rsidR="00CD2301">
        <w:rPr>
          <w:rFonts w:ascii="Century Gothic" w:hAnsi="Century Gothic" w:cstheme="minorHAnsi"/>
          <w:bCs/>
          <w:color w:val="000000" w:themeColor="text1"/>
          <w:sz w:val="22"/>
          <w:szCs w:val="22"/>
          <w:lang w:val="en-US"/>
        </w:rPr>
        <w:t xml:space="preserve"> </w:t>
      </w:r>
      <w:r w:rsidR="00A26D9F" w:rsidRPr="005B0AD6">
        <w:rPr>
          <w:rFonts w:ascii="Century Gothic" w:hAnsi="Century Gothic" w:cstheme="minorHAnsi"/>
          <w:bCs/>
          <w:color w:val="000000" w:themeColor="text1"/>
          <w:sz w:val="22"/>
          <w:szCs w:val="22"/>
          <w:lang w:val="en-US"/>
        </w:rPr>
        <w:t xml:space="preserve">of the </w:t>
      </w:r>
      <w:r w:rsidR="000F4659">
        <w:rPr>
          <w:rFonts w:ascii="Century Gothic" w:hAnsi="Century Gothic" w:cstheme="minorHAnsi"/>
          <w:bCs/>
          <w:color w:val="000000" w:themeColor="text1"/>
          <w:sz w:val="22"/>
          <w:szCs w:val="22"/>
          <w:lang w:val="en-US"/>
        </w:rPr>
        <w:t>Service</w:t>
      </w:r>
      <w:r w:rsidR="00A26D9F" w:rsidRPr="005B0AD6">
        <w:rPr>
          <w:rFonts w:ascii="Century Gothic" w:hAnsi="Century Gothic" w:cstheme="minorHAnsi"/>
          <w:bCs/>
          <w:color w:val="000000" w:themeColor="text1"/>
          <w:sz w:val="22"/>
          <w:szCs w:val="22"/>
          <w:lang w:val="en-US"/>
        </w:rPr>
        <w:t>’</w:t>
      </w:r>
      <w:r w:rsidR="000F4659">
        <w:rPr>
          <w:rFonts w:ascii="Century Gothic" w:hAnsi="Century Gothic" w:cstheme="minorHAnsi"/>
          <w:bCs/>
          <w:color w:val="000000" w:themeColor="text1"/>
          <w:sz w:val="22"/>
          <w:szCs w:val="22"/>
          <w:lang w:val="en-US"/>
        </w:rPr>
        <w:t>s</w:t>
      </w:r>
      <w:r w:rsidR="00A26D9F" w:rsidRPr="005B0AD6">
        <w:rPr>
          <w:rFonts w:ascii="Century Gothic" w:hAnsi="Century Gothic" w:cstheme="minorHAnsi"/>
          <w:bCs/>
          <w:color w:val="000000" w:themeColor="text1"/>
          <w:sz w:val="22"/>
          <w:szCs w:val="22"/>
          <w:lang w:val="en-US"/>
        </w:rPr>
        <w:t xml:space="preserve"> </w:t>
      </w:r>
      <w:r w:rsidR="005E6AEF">
        <w:rPr>
          <w:rFonts w:ascii="Century Gothic" w:hAnsi="Century Gothic" w:cstheme="minorHAnsi"/>
          <w:bCs/>
          <w:color w:val="000000" w:themeColor="text1"/>
          <w:sz w:val="22"/>
          <w:szCs w:val="22"/>
          <w:lang w:val="en-US"/>
        </w:rPr>
        <w:t>work</w:t>
      </w:r>
      <w:r w:rsidR="00A26D9F" w:rsidRPr="005B0AD6">
        <w:rPr>
          <w:rFonts w:ascii="Century Gothic" w:hAnsi="Century Gothic" w:cstheme="minorHAnsi"/>
          <w:bCs/>
          <w:color w:val="000000" w:themeColor="text1"/>
          <w:sz w:val="22"/>
          <w:szCs w:val="22"/>
          <w:lang w:val="en-US"/>
        </w:rPr>
        <w:t xml:space="preserve"> </w:t>
      </w:r>
      <w:proofErr w:type="gramStart"/>
      <w:r w:rsidR="00CA22FC">
        <w:rPr>
          <w:rFonts w:ascii="Century Gothic" w:hAnsi="Century Gothic" w:cstheme="minorHAnsi"/>
          <w:bCs/>
          <w:color w:val="000000" w:themeColor="text1"/>
          <w:sz w:val="22"/>
          <w:szCs w:val="22"/>
          <w:lang w:val="en-US"/>
        </w:rPr>
        <w:t xml:space="preserve">and </w:t>
      </w:r>
      <w:r w:rsidR="00F721DB">
        <w:rPr>
          <w:rFonts w:ascii="Century Gothic" w:hAnsi="Century Gothic" w:cstheme="minorHAnsi"/>
          <w:bCs/>
          <w:color w:val="000000" w:themeColor="text1"/>
          <w:sz w:val="22"/>
          <w:szCs w:val="22"/>
          <w:lang w:val="en-US"/>
        </w:rPr>
        <w:t xml:space="preserve"> SEQOHS</w:t>
      </w:r>
      <w:proofErr w:type="gramEnd"/>
      <w:r w:rsidR="00F721DB">
        <w:rPr>
          <w:rFonts w:ascii="Century Gothic" w:hAnsi="Century Gothic" w:cstheme="minorHAnsi"/>
          <w:bCs/>
          <w:color w:val="000000" w:themeColor="text1"/>
          <w:sz w:val="22"/>
          <w:szCs w:val="22"/>
          <w:lang w:val="en-US"/>
        </w:rPr>
        <w:t xml:space="preserve"> is </w:t>
      </w:r>
      <w:r w:rsidR="00CA22FC">
        <w:rPr>
          <w:rFonts w:ascii="Century Gothic" w:hAnsi="Century Gothic" w:cstheme="minorHAnsi"/>
          <w:bCs/>
          <w:color w:val="000000" w:themeColor="text1"/>
          <w:sz w:val="22"/>
          <w:szCs w:val="22"/>
          <w:lang w:val="en-US"/>
        </w:rPr>
        <w:t xml:space="preserve">not </w:t>
      </w:r>
      <w:r w:rsidR="00A26D9F" w:rsidRPr="005B0AD6">
        <w:rPr>
          <w:rFonts w:ascii="Century Gothic" w:hAnsi="Century Gothic" w:cstheme="minorHAnsi"/>
          <w:bCs/>
          <w:color w:val="000000" w:themeColor="text1"/>
          <w:sz w:val="22"/>
          <w:szCs w:val="22"/>
          <w:lang w:val="en-US"/>
        </w:rPr>
        <w:t xml:space="preserve">responsible for any </w:t>
      </w:r>
      <w:r w:rsidR="00CD2301">
        <w:rPr>
          <w:rFonts w:ascii="Century Gothic" w:hAnsi="Century Gothic" w:cstheme="minorHAnsi"/>
          <w:bCs/>
          <w:color w:val="000000" w:themeColor="text1"/>
          <w:sz w:val="22"/>
          <w:szCs w:val="22"/>
          <w:lang w:val="en-US"/>
        </w:rPr>
        <w:t>errors or omissions</w:t>
      </w:r>
      <w:r w:rsidR="008B0924">
        <w:rPr>
          <w:rFonts w:ascii="Century Gothic" w:hAnsi="Century Gothic" w:cstheme="minorHAnsi"/>
          <w:bCs/>
          <w:color w:val="000000" w:themeColor="text1"/>
          <w:sz w:val="22"/>
          <w:szCs w:val="22"/>
          <w:lang w:val="en-US"/>
        </w:rPr>
        <w:t xml:space="preserve"> made</w:t>
      </w:r>
      <w:r w:rsidR="00A26D9F" w:rsidRPr="005B0AD6">
        <w:rPr>
          <w:rFonts w:ascii="Century Gothic" w:hAnsi="Century Gothic" w:cstheme="minorHAnsi"/>
          <w:bCs/>
          <w:color w:val="000000" w:themeColor="text1"/>
          <w:sz w:val="22"/>
          <w:szCs w:val="22"/>
          <w:lang w:val="en-US"/>
        </w:rPr>
        <w:t xml:space="preserve"> by the</w:t>
      </w:r>
      <w:r w:rsidR="000F4659">
        <w:rPr>
          <w:rFonts w:ascii="Century Gothic" w:hAnsi="Century Gothic" w:cstheme="minorHAnsi"/>
          <w:bCs/>
          <w:color w:val="000000" w:themeColor="text1"/>
          <w:sz w:val="22"/>
          <w:szCs w:val="22"/>
          <w:lang w:val="en-US"/>
        </w:rPr>
        <w:t xml:space="preserve"> Service.</w:t>
      </w:r>
    </w:p>
    <w:p w14:paraId="59537C10" w14:textId="65FBB244" w:rsidR="00A0473D" w:rsidRPr="007E41CC" w:rsidRDefault="00A0473D" w:rsidP="005C15AC">
      <w:pPr>
        <w:pStyle w:val="Heading1"/>
      </w:pPr>
      <w:r w:rsidRPr="007E41CC">
        <w:t>Appeals</w:t>
      </w:r>
    </w:p>
    <w:p w14:paraId="228C9CE7" w14:textId="6B7BEAC4" w:rsidR="00A0473D" w:rsidRPr="005B0AD6" w:rsidRDefault="00A0473D" w:rsidP="00753A7E">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Appeals against decisions made </w:t>
      </w:r>
      <w:r w:rsidR="00F5336B">
        <w:rPr>
          <w:rFonts w:ascii="Century Gothic" w:hAnsi="Century Gothic" w:cstheme="minorHAnsi"/>
          <w:bCs/>
          <w:color w:val="000000" w:themeColor="text1"/>
          <w:sz w:val="22"/>
          <w:szCs w:val="22"/>
          <w:lang w:val="en-US"/>
        </w:rPr>
        <w:t>with</w:t>
      </w:r>
      <w:r w:rsidRPr="005B0AD6">
        <w:rPr>
          <w:rFonts w:ascii="Century Gothic" w:hAnsi="Century Gothic" w:cstheme="minorHAnsi"/>
          <w:bCs/>
          <w:color w:val="000000" w:themeColor="text1"/>
          <w:sz w:val="22"/>
          <w:szCs w:val="22"/>
          <w:lang w:val="en-US"/>
        </w:rPr>
        <w:t xml:space="preserve"> regard to SEQOHS accreditation</w:t>
      </w:r>
      <w:r w:rsidR="00F5336B">
        <w:rPr>
          <w:rFonts w:ascii="Century Gothic" w:hAnsi="Century Gothic" w:cstheme="minorHAnsi"/>
          <w:bCs/>
          <w:color w:val="000000" w:themeColor="text1"/>
          <w:sz w:val="22"/>
          <w:szCs w:val="22"/>
          <w:lang w:val="en-US"/>
        </w:rPr>
        <w:t>,</w:t>
      </w:r>
      <w:r w:rsidRPr="005B0AD6">
        <w:rPr>
          <w:rFonts w:ascii="Century Gothic" w:hAnsi="Century Gothic" w:cstheme="minorHAnsi"/>
          <w:bCs/>
          <w:color w:val="000000" w:themeColor="text1"/>
          <w:sz w:val="22"/>
          <w:szCs w:val="22"/>
          <w:lang w:val="en-US"/>
        </w:rPr>
        <w:t xml:space="preserve"> including granting, denying or withdrawing</w:t>
      </w:r>
      <w:r w:rsidR="00737671">
        <w:rPr>
          <w:rFonts w:ascii="Century Gothic" w:hAnsi="Century Gothic" w:cstheme="minorHAnsi"/>
          <w:bCs/>
          <w:color w:val="000000" w:themeColor="text1"/>
          <w:sz w:val="22"/>
          <w:szCs w:val="22"/>
          <w:lang w:val="en-US"/>
        </w:rPr>
        <w:t xml:space="preserve"> accreditation</w:t>
      </w:r>
      <w:r w:rsidR="00F5336B">
        <w:rPr>
          <w:rFonts w:ascii="Century Gothic" w:hAnsi="Century Gothic" w:cstheme="minorHAnsi"/>
          <w:bCs/>
          <w:color w:val="000000" w:themeColor="text1"/>
          <w:sz w:val="22"/>
          <w:szCs w:val="22"/>
          <w:lang w:val="en-US"/>
        </w:rPr>
        <w:t xml:space="preserve">, </w:t>
      </w:r>
      <w:r w:rsidRPr="005B0AD6">
        <w:rPr>
          <w:rFonts w:ascii="Century Gothic" w:hAnsi="Century Gothic" w:cstheme="minorHAnsi"/>
          <w:bCs/>
          <w:color w:val="000000" w:themeColor="text1"/>
          <w:sz w:val="22"/>
          <w:szCs w:val="22"/>
          <w:lang w:val="en-US"/>
        </w:rPr>
        <w:t>will be processed in accordance with the</w:t>
      </w:r>
      <w:r w:rsidR="006F4912">
        <w:rPr>
          <w:rFonts w:ascii="Century Gothic" w:hAnsi="Century Gothic" w:cstheme="minorHAnsi"/>
          <w:bCs/>
          <w:color w:val="000000" w:themeColor="text1"/>
          <w:sz w:val="22"/>
          <w:szCs w:val="22"/>
          <w:lang w:val="en-US"/>
        </w:rPr>
        <w:t xml:space="preserve"> current</w:t>
      </w:r>
      <w:r w:rsidRPr="005B0AD6">
        <w:rPr>
          <w:rFonts w:ascii="Century Gothic" w:hAnsi="Century Gothic" w:cstheme="minorHAnsi"/>
          <w:bCs/>
          <w:color w:val="000000" w:themeColor="text1"/>
          <w:sz w:val="22"/>
          <w:szCs w:val="22"/>
          <w:lang w:val="en-US"/>
        </w:rPr>
        <w:t xml:space="preserve"> SEQOHS </w:t>
      </w:r>
      <w:r w:rsidR="000B1253" w:rsidRPr="000B1253">
        <w:rPr>
          <w:rFonts w:ascii="Century Gothic" w:hAnsi="Century Gothic" w:cstheme="minorHAnsi"/>
          <w:bCs/>
          <w:color w:val="000000" w:themeColor="text1"/>
          <w:sz w:val="22"/>
          <w:szCs w:val="22"/>
          <w:lang w:val="en-US"/>
        </w:rPr>
        <w:t>Appeals Policy which can be found on the SEQOHS website.</w:t>
      </w:r>
    </w:p>
    <w:p w14:paraId="03A8E55D" w14:textId="6B95FA1E" w:rsidR="007025DB" w:rsidRPr="00566EB8" w:rsidRDefault="007025DB" w:rsidP="005C15AC">
      <w:pPr>
        <w:pStyle w:val="Heading1"/>
      </w:pPr>
      <w:r w:rsidRPr="00566EB8">
        <w:t>Extending accreditation</w:t>
      </w:r>
    </w:p>
    <w:p w14:paraId="0173C701" w14:textId="1924D1E3" w:rsidR="007025DB" w:rsidRPr="005B0AD6" w:rsidRDefault="006732A3"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t>Should</w:t>
      </w:r>
      <w:r w:rsidR="007025DB" w:rsidRPr="005B0AD6">
        <w:rPr>
          <w:rFonts w:ascii="Century Gothic" w:hAnsi="Century Gothic" w:cstheme="minorHAnsi"/>
          <w:bCs/>
          <w:color w:val="000000" w:themeColor="text1"/>
          <w:sz w:val="22"/>
          <w:szCs w:val="22"/>
          <w:lang w:val="en-US"/>
        </w:rPr>
        <w:t xml:space="preserve"> a</w:t>
      </w:r>
      <w:r w:rsidR="00284CD9">
        <w:rPr>
          <w:rFonts w:ascii="Century Gothic" w:hAnsi="Century Gothic" w:cstheme="minorHAnsi"/>
          <w:bCs/>
          <w:color w:val="000000" w:themeColor="text1"/>
          <w:sz w:val="22"/>
          <w:szCs w:val="22"/>
          <w:lang w:val="en-US"/>
        </w:rPr>
        <w:t xml:space="preserve"> Service</w:t>
      </w:r>
      <w:r w:rsidR="007025DB" w:rsidRPr="005B0AD6">
        <w:rPr>
          <w:rFonts w:ascii="Century Gothic" w:hAnsi="Century Gothic" w:cstheme="minorHAnsi"/>
          <w:bCs/>
          <w:color w:val="000000" w:themeColor="text1"/>
          <w:sz w:val="22"/>
          <w:szCs w:val="22"/>
          <w:lang w:val="en-US"/>
        </w:rPr>
        <w:t xml:space="preserve"> </w:t>
      </w:r>
      <w:r w:rsidR="0075128F">
        <w:rPr>
          <w:rFonts w:ascii="Century Gothic" w:hAnsi="Century Gothic" w:cstheme="minorHAnsi"/>
          <w:bCs/>
          <w:color w:val="000000" w:themeColor="text1"/>
          <w:sz w:val="22"/>
          <w:szCs w:val="22"/>
          <w:lang w:val="en-US"/>
        </w:rPr>
        <w:t xml:space="preserve">fail to </w:t>
      </w:r>
      <w:r w:rsidR="007025DB" w:rsidRPr="005B0AD6">
        <w:rPr>
          <w:rFonts w:ascii="Century Gothic" w:hAnsi="Century Gothic" w:cstheme="minorHAnsi"/>
          <w:bCs/>
          <w:color w:val="000000" w:themeColor="text1"/>
          <w:sz w:val="22"/>
          <w:szCs w:val="22"/>
          <w:lang w:val="en-US"/>
        </w:rPr>
        <w:t>meet the required deadlines</w:t>
      </w:r>
      <w:r w:rsidR="000131CD">
        <w:rPr>
          <w:rFonts w:ascii="Century Gothic" w:hAnsi="Century Gothic" w:cstheme="minorHAnsi"/>
          <w:bCs/>
          <w:color w:val="000000" w:themeColor="text1"/>
          <w:sz w:val="22"/>
          <w:szCs w:val="22"/>
          <w:lang w:val="en-US"/>
        </w:rPr>
        <w:t>, but</w:t>
      </w:r>
      <w:r>
        <w:rPr>
          <w:rFonts w:ascii="Century Gothic" w:hAnsi="Century Gothic" w:cstheme="minorHAnsi"/>
          <w:bCs/>
          <w:color w:val="000000" w:themeColor="text1"/>
          <w:sz w:val="22"/>
          <w:szCs w:val="22"/>
          <w:lang w:val="en-US"/>
        </w:rPr>
        <w:t xml:space="preserve"> can provide evidence of </w:t>
      </w:r>
      <w:r w:rsidR="000131CD">
        <w:rPr>
          <w:rFonts w:ascii="Century Gothic" w:hAnsi="Century Gothic" w:cstheme="minorHAnsi"/>
          <w:bCs/>
          <w:color w:val="000000" w:themeColor="text1"/>
          <w:sz w:val="22"/>
          <w:szCs w:val="22"/>
          <w:lang w:val="en-US"/>
        </w:rPr>
        <w:t xml:space="preserve">exceptional </w:t>
      </w:r>
      <w:r>
        <w:rPr>
          <w:rFonts w:ascii="Century Gothic" w:hAnsi="Century Gothic" w:cstheme="minorHAnsi"/>
          <w:bCs/>
          <w:color w:val="000000" w:themeColor="text1"/>
          <w:sz w:val="22"/>
          <w:szCs w:val="22"/>
          <w:lang w:val="en-US"/>
        </w:rPr>
        <w:t xml:space="preserve">extenuating circumstances, </w:t>
      </w:r>
      <w:r w:rsidR="000131CD">
        <w:rPr>
          <w:rFonts w:ascii="Century Gothic" w:hAnsi="Century Gothic" w:cstheme="minorHAnsi"/>
          <w:bCs/>
          <w:color w:val="000000" w:themeColor="text1"/>
          <w:sz w:val="22"/>
          <w:szCs w:val="22"/>
          <w:lang w:val="en-US"/>
        </w:rPr>
        <w:t xml:space="preserve">the request to extend accreditation </w:t>
      </w:r>
      <w:r w:rsidR="007025DB" w:rsidRPr="005B0AD6">
        <w:rPr>
          <w:rFonts w:ascii="Century Gothic" w:hAnsi="Century Gothic" w:cstheme="minorHAnsi"/>
          <w:bCs/>
          <w:color w:val="000000" w:themeColor="text1"/>
          <w:sz w:val="22"/>
          <w:szCs w:val="22"/>
          <w:lang w:val="en-US"/>
        </w:rPr>
        <w:t>wi</w:t>
      </w:r>
      <w:r w:rsidR="00457AD4" w:rsidRPr="005B0AD6">
        <w:rPr>
          <w:rFonts w:ascii="Century Gothic" w:hAnsi="Century Gothic" w:cstheme="minorHAnsi"/>
          <w:bCs/>
          <w:color w:val="000000" w:themeColor="text1"/>
          <w:sz w:val="22"/>
          <w:szCs w:val="22"/>
          <w:lang w:val="en-US"/>
        </w:rPr>
        <w:t>ll</w:t>
      </w:r>
      <w:r w:rsidR="007025DB" w:rsidRPr="005B0AD6">
        <w:rPr>
          <w:rFonts w:ascii="Century Gothic" w:hAnsi="Century Gothic" w:cstheme="minorHAnsi"/>
          <w:bCs/>
          <w:color w:val="000000" w:themeColor="text1"/>
          <w:sz w:val="22"/>
          <w:szCs w:val="22"/>
          <w:lang w:val="en-US"/>
        </w:rPr>
        <w:t xml:space="preserve"> be </w:t>
      </w:r>
      <w:r w:rsidR="000131CD">
        <w:rPr>
          <w:rFonts w:ascii="Century Gothic" w:hAnsi="Century Gothic" w:cstheme="minorHAnsi"/>
          <w:bCs/>
          <w:color w:val="000000" w:themeColor="text1"/>
          <w:sz w:val="22"/>
          <w:szCs w:val="22"/>
          <w:lang w:val="en-US"/>
        </w:rPr>
        <w:t>considered</w:t>
      </w:r>
      <w:r w:rsidR="007025DB" w:rsidRPr="005B0AD6">
        <w:rPr>
          <w:rFonts w:ascii="Century Gothic" w:hAnsi="Century Gothic" w:cstheme="minorHAnsi"/>
          <w:bCs/>
          <w:color w:val="000000" w:themeColor="text1"/>
          <w:sz w:val="22"/>
          <w:szCs w:val="22"/>
          <w:lang w:val="en-US"/>
        </w:rPr>
        <w:t xml:space="preserve"> on an individual basis</w:t>
      </w:r>
      <w:r w:rsidR="0075128F">
        <w:rPr>
          <w:rFonts w:ascii="Century Gothic" w:hAnsi="Century Gothic" w:cstheme="minorHAnsi"/>
          <w:bCs/>
          <w:color w:val="000000" w:themeColor="text1"/>
          <w:sz w:val="22"/>
          <w:szCs w:val="22"/>
          <w:lang w:val="en-US"/>
        </w:rPr>
        <w:t xml:space="preserve">. This </w:t>
      </w:r>
      <w:r w:rsidR="007025DB" w:rsidRPr="005B0AD6">
        <w:rPr>
          <w:rFonts w:ascii="Century Gothic" w:hAnsi="Century Gothic" w:cstheme="minorHAnsi"/>
          <w:bCs/>
          <w:color w:val="000000" w:themeColor="text1"/>
          <w:sz w:val="22"/>
          <w:szCs w:val="22"/>
          <w:lang w:val="en-US"/>
        </w:rPr>
        <w:t>may result in the OH service name being removed from the accredited providers</w:t>
      </w:r>
      <w:r w:rsidR="00BF12B2">
        <w:rPr>
          <w:rFonts w:ascii="Century Gothic" w:hAnsi="Century Gothic" w:cstheme="minorHAnsi"/>
          <w:bCs/>
          <w:color w:val="000000" w:themeColor="text1"/>
          <w:sz w:val="22"/>
          <w:szCs w:val="22"/>
          <w:lang w:val="en-US"/>
        </w:rPr>
        <w:t>’</w:t>
      </w:r>
      <w:r w:rsidR="007025DB" w:rsidRPr="005B0AD6">
        <w:rPr>
          <w:rFonts w:ascii="Century Gothic" w:hAnsi="Century Gothic" w:cstheme="minorHAnsi"/>
          <w:bCs/>
          <w:color w:val="000000" w:themeColor="text1"/>
          <w:sz w:val="22"/>
          <w:szCs w:val="22"/>
          <w:lang w:val="en-US"/>
        </w:rPr>
        <w:t xml:space="preserve"> list. </w:t>
      </w:r>
    </w:p>
    <w:p w14:paraId="11E824DC" w14:textId="7DA4B87C" w:rsidR="00D26741" w:rsidRPr="005B0AD6" w:rsidRDefault="00967695" w:rsidP="004C535B">
      <w:pPr>
        <w:spacing w:before="120" w:line="288" w:lineRule="auto"/>
        <w:jc w:val="both"/>
        <w:rPr>
          <w:rFonts w:ascii="Century Gothic" w:hAnsi="Century Gothic" w:cstheme="minorHAnsi"/>
          <w:bCs/>
          <w:color w:val="000000" w:themeColor="text1"/>
          <w:sz w:val="22"/>
          <w:szCs w:val="22"/>
          <w:lang w:val="en-US"/>
        </w:rPr>
      </w:pPr>
      <w:r>
        <w:rPr>
          <w:rFonts w:ascii="Century Gothic" w:hAnsi="Century Gothic" w:cstheme="minorHAnsi"/>
          <w:bCs/>
          <w:color w:val="000000" w:themeColor="text1"/>
          <w:sz w:val="22"/>
          <w:szCs w:val="22"/>
          <w:lang w:val="en-US"/>
        </w:rPr>
        <w:lastRenderedPageBreak/>
        <w:t>A</w:t>
      </w:r>
      <w:r w:rsidR="00D26741" w:rsidRPr="005B0AD6">
        <w:rPr>
          <w:rFonts w:ascii="Century Gothic" w:hAnsi="Century Gothic" w:cstheme="minorHAnsi"/>
          <w:bCs/>
          <w:color w:val="000000" w:themeColor="text1"/>
          <w:sz w:val="22"/>
          <w:szCs w:val="22"/>
          <w:lang w:val="en-US"/>
        </w:rPr>
        <w:t>ny significant lapse or failure to comply wit</w:t>
      </w:r>
      <w:r w:rsidR="00AF60B1">
        <w:rPr>
          <w:rFonts w:ascii="Century Gothic" w:hAnsi="Century Gothic" w:cstheme="minorHAnsi"/>
          <w:bCs/>
          <w:color w:val="000000" w:themeColor="text1"/>
          <w:sz w:val="22"/>
          <w:szCs w:val="22"/>
          <w:lang w:val="en-US"/>
        </w:rPr>
        <w:t>h SEQOHS S</w:t>
      </w:r>
      <w:r w:rsidR="00D26741" w:rsidRPr="005B0AD6">
        <w:rPr>
          <w:rFonts w:ascii="Century Gothic" w:hAnsi="Century Gothic" w:cstheme="minorHAnsi"/>
          <w:bCs/>
          <w:color w:val="000000" w:themeColor="text1"/>
          <w:sz w:val="22"/>
          <w:szCs w:val="22"/>
          <w:lang w:val="en-US"/>
        </w:rPr>
        <w:t>tandards, including failure to meet annual re</w:t>
      </w:r>
      <w:r>
        <w:rPr>
          <w:rFonts w:ascii="Century Gothic" w:hAnsi="Century Gothic" w:cstheme="minorHAnsi"/>
          <w:bCs/>
          <w:color w:val="000000" w:themeColor="text1"/>
          <w:sz w:val="22"/>
          <w:szCs w:val="22"/>
          <w:lang w:val="en-US"/>
        </w:rPr>
        <w:t xml:space="preserve">view </w:t>
      </w:r>
      <w:r w:rsidR="00D26741" w:rsidRPr="005B0AD6">
        <w:rPr>
          <w:rFonts w:ascii="Century Gothic" w:hAnsi="Century Gothic" w:cstheme="minorHAnsi"/>
          <w:bCs/>
          <w:color w:val="000000" w:themeColor="text1"/>
          <w:sz w:val="22"/>
          <w:szCs w:val="22"/>
          <w:lang w:val="en-US"/>
        </w:rPr>
        <w:t xml:space="preserve">deadlines, </w:t>
      </w:r>
      <w:r w:rsidR="00E7571B">
        <w:rPr>
          <w:rFonts w:ascii="Century Gothic" w:hAnsi="Century Gothic" w:cstheme="minorHAnsi"/>
          <w:bCs/>
          <w:color w:val="000000" w:themeColor="text1"/>
          <w:sz w:val="22"/>
          <w:szCs w:val="22"/>
          <w:lang w:val="en-US"/>
        </w:rPr>
        <w:t>may r</w:t>
      </w:r>
      <w:r w:rsidR="00D26741" w:rsidRPr="005B0AD6">
        <w:rPr>
          <w:rFonts w:ascii="Century Gothic" w:hAnsi="Century Gothic" w:cstheme="minorHAnsi"/>
          <w:bCs/>
          <w:color w:val="000000" w:themeColor="text1"/>
          <w:sz w:val="22"/>
          <w:szCs w:val="22"/>
          <w:lang w:val="en-US"/>
        </w:rPr>
        <w:t xml:space="preserve">esult in the </w:t>
      </w:r>
      <w:r w:rsidR="00AF60B1">
        <w:rPr>
          <w:rFonts w:ascii="Century Gothic" w:hAnsi="Century Gothic" w:cstheme="minorHAnsi"/>
          <w:bCs/>
          <w:color w:val="000000" w:themeColor="text1"/>
          <w:sz w:val="22"/>
          <w:szCs w:val="22"/>
          <w:lang w:val="en-US"/>
        </w:rPr>
        <w:t>Service</w:t>
      </w:r>
      <w:r w:rsidR="00D26741" w:rsidRPr="005B0AD6">
        <w:rPr>
          <w:rFonts w:ascii="Century Gothic" w:hAnsi="Century Gothic" w:cstheme="minorHAnsi"/>
          <w:bCs/>
          <w:color w:val="000000" w:themeColor="text1"/>
          <w:sz w:val="22"/>
          <w:szCs w:val="22"/>
          <w:lang w:val="en-US"/>
        </w:rPr>
        <w:t xml:space="preserve"> being instructed to remove a</w:t>
      </w:r>
      <w:r w:rsidR="00CD5740">
        <w:rPr>
          <w:rFonts w:ascii="Century Gothic" w:hAnsi="Century Gothic" w:cstheme="minorHAnsi"/>
          <w:bCs/>
          <w:color w:val="000000" w:themeColor="text1"/>
          <w:sz w:val="22"/>
          <w:szCs w:val="22"/>
          <w:lang w:val="en-US"/>
        </w:rPr>
        <w:t>ll</w:t>
      </w:r>
      <w:r w:rsidR="00D26741" w:rsidRPr="005B0AD6">
        <w:rPr>
          <w:rFonts w:ascii="Century Gothic" w:hAnsi="Century Gothic" w:cstheme="minorHAnsi"/>
          <w:bCs/>
          <w:color w:val="000000" w:themeColor="text1"/>
          <w:sz w:val="22"/>
          <w:szCs w:val="22"/>
          <w:lang w:val="en-US"/>
        </w:rPr>
        <w:t xml:space="preserve"> reference</w:t>
      </w:r>
      <w:r w:rsidR="00CD5740">
        <w:rPr>
          <w:rFonts w:ascii="Century Gothic" w:hAnsi="Century Gothic" w:cstheme="minorHAnsi"/>
          <w:bCs/>
          <w:color w:val="000000" w:themeColor="text1"/>
          <w:sz w:val="22"/>
          <w:szCs w:val="22"/>
          <w:lang w:val="en-US"/>
        </w:rPr>
        <w:t>s</w:t>
      </w:r>
      <w:r w:rsidR="00D26741" w:rsidRPr="005B0AD6">
        <w:rPr>
          <w:rFonts w:ascii="Century Gothic" w:hAnsi="Century Gothic" w:cstheme="minorHAnsi"/>
          <w:bCs/>
          <w:color w:val="000000" w:themeColor="text1"/>
          <w:sz w:val="22"/>
          <w:szCs w:val="22"/>
          <w:lang w:val="en-US"/>
        </w:rPr>
        <w:t xml:space="preserve"> to current SEQOHS accreditation </w:t>
      </w:r>
      <w:r w:rsidR="002578E3">
        <w:rPr>
          <w:rFonts w:ascii="Century Gothic" w:hAnsi="Century Gothic" w:cstheme="minorHAnsi"/>
          <w:bCs/>
          <w:color w:val="000000" w:themeColor="text1"/>
          <w:sz w:val="22"/>
          <w:szCs w:val="22"/>
          <w:lang w:val="en-US"/>
        </w:rPr>
        <w:t xml:space="preserve">and </w:t>
      </w:r>
      <w:r w:rsidR="00CD5740">
        <w:rPr>
          <w:rFonts w:ascii="Century Gothic" w:hAnsi="Century Gothic" w:cstheme="minorHAnsi"/>
          <w:bCs/>
          <w:color w:val="000000" w:themeColor="text1"/>
          <w:sz w:val="22"/>
          <w:szCs w:val="22"/>
          <w:lang w:val="en-US"/>
        </w:rPr>
        <w:t xml:space="preserve">to remove </w:t>
      </w:r>
      <w:r w:rsidR="002578E3">
        <w:rPr>
          <w:rFonts w:ascii="Century Gothic" w:hAnsi="Century Gothic" w:cstheme="minorHAnsi"/>
          <w:bCs/>
          <w:color w:val="000000" w:themeColor="text1"/>
          <w:sz w:val="22"/>
          <w:szCs w:val="22"/>
          <w:lang w:val="en-US"/>
        </w:rPr>
        <w:t>any SEQOHS logo</w:t>
      </w:r>
      <w:r w:rsidR="00CD5740">
        <w:rPr>
          <w:rFonts w:ascii="Century Gothic" w:hAnsi="Century Gothic" w:cstheme="minorHAnsi"/>
          <w:bCs/>
          <w:color w:val="000000" w:themeColor="text1"/>
          <w:sz w:val="22"/>
          <w:szCs w:val="22"/>
          <w:lang w:val="en-US"/>
        </w:rPr>
        <w:t>s</w:t>
      </w:r>
      <w:r w:rsidR="002578E3">
        <w:rPr>
          <w:rFonts w:ascii="Century Gothic" w:hAnsi="Century Gothic" w:cstheme="minorHAnsi"/>
          <w:bCs/>
          <w:color w:val="000000" w:themeColor="text1"/>
          <w:sz w:val="22"/>
          <w:szCs w:val="22"/>
          <w:lang w:val="en-US"/>
        </w:rPr>
        <w:t xml:space="preserve"> </w:t>
      </w:r>
      <w:r w:rsidR="00D26741" w:rsidRPr="005B0AD6">
        <w:rPr>
          <w:rFonts w:ascii="Century Gothic" w:hAnsi="Century Gothic" w:cstheme="minorHAnsi"/>
          <w:bCs/>
          <w:color w:val="000000" w:themeColor="text1"/>
          <w:sz w:val="22"/>
          <w:szCs w:val="22"/>
          <w:lang w:val="en-US"/>
        </w:rPr>
        <w:t xml:space="preserve">from </w:t>
      </w:r>
      <w:r w:rsidR="00CD5740">
        <w:rPr>
          <w:rFonts w:ascii="Century Gothic" w:hAnsi="Century Gothic" w:cstheme="minorHAnsi"/>
          <w:bCs/>
          <w:color w:val="000000" w:themeColor="text1"/>
          <w:sz w:val="22"/>
          <w:szCs w:val="22"/>
          <w:lang w:val="en-US"/>
        </w:rPr>
        <w:t xml:space="preserve">its </w:t>
      </w:r>
      <w:r w:rsidR="00D26741" w:rsidRPr="005B0AD6">
        <w:rPr>
          <w:rFonts w:ascii="Century Gothic" w:hAnsi="Century Gothic" w:cstheme="minorHAnsi"/>
          <w:bCs/>
          <w:color w:val="000000" w:themeColor="text1"/>
          <w:sz w:val="22"/>
          <w:szCs w:val="22"/>
          <w:lang w:val="en-US"/>
        </w:rPr>
        <w:t xml:space="preserve">website </w:t>
      </w:r>
      <w:r w:rsidR="00E7571B">
        <w:rPr>
          <w:rFonts w:ascii="Century Gothic" w:hAnsi="Century Gothic" w:cstheme="minorHAnsi"/>
          <w:bCs/>
          <w:color w:val="000000" w:themeColor="text1"/>
          <w:sz w:val="22"/>
          <w:szCs w:val="22"/>
          <w:lang w:val="en-US"/>
        </w:rPr>
        <w:t>and all other medi</w:t>
      </w:r>
      <w:r w:rsidR="002578E3">
        <w:rPr>
          <w:rFonts w:ascii="Century Gothic" w:hAnsi="Century Gothic" w:cstheme="minorHAnsi"/>
          <w:bCs/>
          <w:color w:val="000000" w:themeColor="text1"/>
          <w:sz w:val="22"/>
          <w:szCs w:val="22"/>
          <w:lang w:val="en-US"/>
        </w:rPr>
        <w:t>a.</w:t>
      </w:r>
    </w:p>
    <w:p w14:paraId="6BC975D5" w14:textId="4DDEBAE4" w:rsidR="007025DB" w:rsidRPr="007E41CC" w:rsidRDefault="007025DB" w:rsidP="005C15AC">
      <w:pPr>
        <w:pStyle w:val="Heading1"/>
      </w:pPr>
      <w:r w:rsidRPr="007E41CC">
        <w:t>Termination</w:t>
      </w:r>
    </w:p>
    <w:p w14:paraId="2ABA507C" w14:textId="105EDAA0" w:rsidR="007025DB" w:rsidRPr="005B0AD6" w:rsidRDefault="007025DB"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This </w:t>
      </w:r>
      <w:r w:rsidR="001C0756">
        <w:rPr>
          <w:rFonts w:ascii="Century Gothic" w:hAnsi="Century Gothic" w:cstheme="minorHAnsi"/>
          <w:bCs/>
          <w:color w:val="000000" w:themeColor="text1"/>
          <w:sz w:val="22"/>
          <w:szCs w:val="22"/>
          <w:lang w:val="en-US"/>
        </w:rPr>
        <w:t>A</w:t>
      </w:r>
      <w:r w:rsidRPr="005B0AD6">
        <w:rPr>
          <w:rFonts w:ascii="Century Gothic" w:hAnsi="Century Gothic" w:cstheme="minorHAnsi"/>
          <w:bCs/>
          <w:color w:val="000000" w:themeColor="text1"/>
          <w:sz w:val="22"/>
          <w:szCs w:val="22"/>
          <w:lang w:val="en-US"/>
        </w:rPr>
        <w:t>greement shall continue until terminated by either party by giving 90 days’ written notice to the other.</w:t>
      </w:r>
    </w:p>
    <w:p w14:paraId="48AE724C" w14:textId="70144E2D" w:rsidR="007025DB" w:rsidRPr="005B0AD6" w:rsidRDefault="007025DB"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At the date of termination of this </w:t>
      </w:r>
      <w:r w:rsidR="001C0756">
        <w:rPr>
          <w:rFonts w:ascii="Century Gothic" w:hAnsi="Century Gothic" w:cstheme="minorHAnsi"/>
          <w:bCs/>
          <w:color w:val="000000" w:themeColor="text1"/>
          <w:sz w:val="22"/>
          <w:szCs w:val="22"/>
          <w:lang w:val="en-US"/>
        </w:rPr>
        <w:t>A</w:t>
      </w:r>
      <w:r w:rsidRPr="005B0AD6">
        <w:rPr>
          <w:rFonts w:ascii="Century Gothic" w:hAnsi="Century Gothic" w:cstheme="minorHAnsi"/>
          <w:bCs/>
          <w:color w:val="000000" w:themeColor="text1"/>
          <w:sz w:val="22"/>
          <w:szCs w:val="22"/>
          <w:lang w:val="en-US"/>
        </w:rPr>
        <w:t>greement by either party, the SEQOHS accreditation certificate shall immediately cease to be valid and the Service will be removed from relevant list</w:t>
      </w:r>
      <w:r w:rsidR="00C909CB">
        <w:rPr>
          <w:rFonts w:ascii="Century Gothic" w:hAnsi="Century Gothic" w:cstheme="minorHAnsi"/>
          <w:bCs/>
          <w:color w:val="000000" w:themeColor="text1"/>
          <w:sz w:val="22"/>
          <w:szCs w:val="22"/>
          <w:lang w:val="en-US"/>
        </w:rPr>
        <w:t>ings</w:t>
      </w:r>
      <w:r w:rsidRPr="005B0AD6">
        <w:rPr>
          <w:rFonts w:ascii="Century Gothic" w:hAnsi="Century Gothic" w:cstheme="minorHAnsi"/>
          <w:bCs/>
          <w:color w:val="000000" w:themeColor="text1"/>
          <w:sz w:val="22"/>
          <w:szCs w:val="22"/>
          <w:lang w:val="en-US"/>
        </w:rPr>
        <w:t xml:space="preserve"> on the SEQOHS website. </w:t>
      </w:r>
    </w:p>
    <w:p w14:paraId="6763B1DD" w14:textId="263CA562" w:rsidR="007025DB" w:rsidRDefault="007025DB"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Any termination of this </w:t>
      </w:r>
      <w:r w:rsidR="001C0756">
        <w:rPr>
          <w:rFonts w:ascii="Century Gothic" w:hAnsi="Century Gothic" w:cstheme="minorHAnsi"/>
          <w:bCs/>
          <w:color w:val="000000" w:themeColor="text1"/>
          <w:sz w:val="22"/>
          <w:szCs w:val="22"/>
          <w:lang w:val="en-US"/>
        </w:rPr>
        <w:t>A</w:t>
      </w:r>
      <w:r w:rsidRPr="005B0AD6">
        <w:rPr>
          <w:rFonts w:ascii="Century Gothic" w:hAnsi="Century Gothic" w:cstheme="minorHAnsi"/>
          <w:bCs/>
          <w:color w:val="000000" w:themeColor="text1"/>
          <w:sz w:val="22"/>
          <w:szCs w:val="22"/>
          <w:lang w:val="en-US"/>
        </w:rPr>
        <w:t xml:space="preserve">greement, however caused, shall be without prejudice to any rights or liabilities of the parties which have been accrued on or before the date of termination, but neither party shall have any rights to require performance of or liabilities to perform this </w:t>
      </w:r>
      <w:r w:rsidR="001C0756">
        <w:rPr>
          <w:rFonts w:ascii="Century Gothic" w:hAnsi="Century Gothic" w:cstheme="minorHAnsi"/>
          <w:bCs/>
          <w:color w:val="000000" w:themeColor="text1"/>
          <w:sz w:val="22"/>
          <w:szCs w:val="22"/>
          <w:lang w:val="en-US"/>
        </w:rPr>
        <w:t>A</w:t>
      </w:r>
      <w:r w:rsidRPr="005B0AD6">
        <w:rPr>
          <w:rFonts w:ascii="Century Gothic" w:hAnsi="Century Gothic" w:cstheme="minorHAnsi"/>
          <w:bCs/>
          <w:color w:val="000000" w:themeColor="text1"/>
          <w:sz w:val="22"/>
          <w:szCs w:val="22"/>
          <w:lang w:val="en-US"/>
        </w:rPr>
        <w:t>greement after such date.</w:t>
      </w:r>
    </w:p>
    <w:p w14:paraId="76AB4678" w14:textId="6BBBAE15" w:rsidR="007025DB" w:rsidRPr="005B0AD6" w:rsidRDefault="007025DB" w:rsidP="004C535B">
      <w:pPr>
        <w:pStyle w:val="NoSpacing"/>
        <w:spacing w:line="288" w:lineRule="auto"/>
        <w:jc w:val="both"/>
        <w:rPr>
          <w:rFonts w:ascii="Century Gothic" w:hAnsi="Century Gothic"/>
        </w:rPr>
      </w:pPr>
      <w:r w:rsidRPr="005B0AD6">
        <w:rPr>
          <w:rFonts w:ascii="Century Gothic" w:hAnsi="Century Gothic"/>
        </w:rPr>
        <w:t xml:space="preserve">Upon termination of this </w:t>
      </w:r>
      <w:r w:rsidR="001C0756">
        <w:rPr>
          <w:rFonts w:ascii="Century Gothic" w:hAnsi="Century Gothic"/>
        </w:rPr>
        <w:t>A</w:t>
      </w:r>
      <w:r w:rsidRPr="005B0AD6">
        <w:rPr>
          <w:rFonts w:ascii="Century Gothic" w:hAnsi="Century Gothic"/>
        </w:rPr>
        <w:t>greement for any reason:</w:t>
      </w:r>
    </w:p>
    <w:p w14:paraId="23BB6BF9" w14:textId="27CC0FA8" w:rsidR="007025DB" w:rsidRPr="005B0AD6" w:rsidRDefault="007025DB" w:rsidP="004C535B">
      <w:pPr>
        <w:pStyle w:val="ListParagraph"/>
        <w:numPr>
          <w:ilvl w:val="1"/>
          <w:numId w:val="7"/>
        </w:numPr>
        <w:spacing w:before="120" w:line="288" w:lineRule="auto"/>
        <w:ind w:left="709" w:hanging="425"/>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 xml:space="preserve">Notwithstanding any other provisions of this </w:t>
      </w:r>
      <w:r w:rsidR="001C0756">
        <w:rPr>
          <w:rFonts w:ascii="Century Gothic" w:hAnsi="Century Gothic" w:cstheme="minorHAnsi"/>
          <w:bCs/>
          <w:color w:val="000000" w:themeColor="text1"/>
          <w:lang w:val="en-US"/>
        </w:rPr>
        <w:t>A</w:t>
      </w:r>
      <w:r w:rsidRPr="005B0AD6">
        <w:rPr>
          <w:rFonts w:ascii="Century Gothic" w:hAnsi="Century Gothic" w:cstheme="minorHAnsi"/>
          <w:bCs/>
          <w:color w:val="000000" w:themeColor="text1"/>
          <w:lang w:val="en-US"/>
        </w:rPr>
        <w:t xml:space="preserve">greement, the terms of termination, confidentiality, liability and indemnity as outlined in the </w:t>
      </w:r>
      <w:r w:rsidR="001C0756">
        <w:rPr>
          <w:rFonts w:ascii="Century Gothic" w:hAnsi="Century Gothic" w:cstheme="minorHAnsi"/>
          <w:bCs/>
          <w:color w:val="000000" w:themeColor="text1"/>
          <w:lang w:val="en-US"/>
        </w:rPr>
        <w:t>A</w:t>
      </w:r>
      <w:r w:rsidRPr="005B0AD6">
        <w:rPr>
          <w:rFonts w:ascii="Century Gothic" w:hAnsi="Century Gothic" w:cstheme="minorHAnsi"/>
          <w:bCs/>
          <w:color w:val="000000" w:themeColor="text1"/>
          <w:lang w:val="en-US"/>
        </w:rPr>
        <w:t>greement above shall continue in accordance with their terms; and</w:t>
      </w:r>
    </w:p>
    <w:p w14:paraId="557CE214" w14:textId="3267061E" w:rsidR="007025DB" w:rsidRPr="005B0AD6" w:rsidRDefault="007025DB" w:rsidP="004C535B">
      <w:pPr>
        <w:pStyle w:val="ListParagraph"/>
        <w:numPr>
          <w:ilvl w:val="1"/>
          <w:numId w:val="7"/>
        </w:numPr>
        <w:spacing w:before="120" w:line="288" w:lineRule="auto"/>
        <w:ind w:left="709" w:hanging="425"/>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All fees and charges accrued</w:t>
      </w:r>
      <w:r w:rsidR="00E14C43">
        <w:rPr>
          <w:rFonts w:ascii="Century Gothic" w:hAnsi="Century Gothic" w:cstheme="minorHAnsi"/>
          <w:bCs/>
          <w:color w:val="000000" w:themeColor="text1"/>
          <w:lang w:val="en-US"/>
        </w:rPr>
        <w:t xml:space="preserve"> and unpaid </w:t>
      </w:r>
      <w:r w:rsidRPr="005B0AD6">
        <w:rPr>
          <w:rFonts w:ascii="Century Gothic" w:hAnsi="Century Gothic" w:cstheme="minorHAnsi"/>
          <w:bCs/>
          <w:color w:val="000000" w:themeColor="text1"/>
          <w:lang w:val="en-US"/>
        </w:rPr>
        <w:t xml:space="preserve">pursuant to this </w:t>
      </w:r>
      <w:r w:rsidR="001C0756">
        <w:rPr>
          <w:rFonts w:ascii="Century Gothic" w:hAnsi="Century Gothic" w:cstheme="minorHAnsi"/>
          <w:bCs/>
          <w:color w:val="000000" w:themeColor="text1"/>
          <w:lang w:val="en-US"/>
        </w:rPr>
        <w:t>A</w:t>
      </w:r>
      <w:r w:rsidRPr="005B0AD6">
        <w:rPr>
          <w:rFonts w:ascii="Century Gothic" w:hAnsi="Century Gothic" w:cstheme="minorHAnsi"/>
          <w:bCs/>
          <w:color w:val="000000" w:themeColor="text1"/>
          <w:lang w:val="en-US"/>
        </w:rPr>
        <w:t>greement shall forthwith become due and payable.</w:t>
      </w:r>
    </w:p>
    <w:p w14:paraId="232A4F64" w14:textId="15FC195B" w:rsidR="00A0473D" w:rsidRPr="00356637" w:rsidRDefault="00A0473D" w:rsidP="005C15AC">
      <w:pPr>
        <w:pStyle w:val="Heading1"/>
      </w:pPr>
      <w:r w:rsidRPr="00356637">
        <w:t>Additional terms</w:t>
      </w:r>
    </w:p>
    <w:p w14:paraId="29346282" w14:textId="437EF6AE" w:rsidR="00A0473D" w:rsidRPr="005B0AD6" w:rsidRDefault="00A0473D"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The </w:t>
      </w:r>
      <w:r w:rsidR="0070665A">
        <w:rPr>
          <w:rFonts w:ascii="Century Gothic" w:hAnsi="Century Gothic" w:cstheme="minorHAnsi"/>
          <w:bCs/>
          <w:color w:val="000000" w:themeColor="text1"/>
          <w:sz w:val="22"/>
          <w:szCs w:val="22"/>
          <w:lang w:val="en-US"/>
        </w:rPr>
        <w:t>S</w:t>
      </w:r>
      <w:r w:rsidRPr="005B0AD6">
        <w:rPr>
          <w:rFonts w:ascii="Century Gothic" w:hAnsi="Century Gothic" w:cstheme="minorHAnsi"/>
          <w:bCs/>
          <w:color w:val="000000" w:themeColor="text1"/>
          <w:sz w:val="22"/>
          <w:szCs w:val="22"/>
          <w:lang w:val="en-US"/>
        </w:rPr>
        <w:t>ervice shall:</w:t>
      </w:r>
    </w:p>
    <w:p w14:paraId="59B3CB06" w14:textId="57B9C36B" w:rsidR="00A0473D" w:rsidRPr="005B0AD6" w:rsidRDefault="00A0473D" w:rsidP="004C535B">
      <w:pPr>
        <w:pStyle w:val="ListParagraph"/>
        <w:numPr>
          <w:ilvl w:val="0"/>
          <w:numId w:val="15"/>
        </w:numPr>
        <w:spacing w:before="120" w:line="288" w:lineRule="auto"/>
        <w:ind w:left="284" w:hanging="284"/>
        <w:contextualSpacing w:val="0"/>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not take any action or use SEQOHS accreditation or its representing brand or logos in any such manner that may harm the reputation of SEQOHS or its affiliated contractors, partners or representatives</w:t>
      </w:r>
      <w:r w:rsidR="00FB0E9C">
        <w:rPr>
          <w:rFonts w:ascii="Century Gothic" w:hAnsi="Century Gothic" w:cstheme="minorHAnsi"/>
          <w:bCs/>
          <w:color w:val="000000" w:themeColor="text1"/>
          <w:lang w:val="en-US"/>
        </w:rPr>
        <w:t>;</w:t>
      </w:r>
      <w:r w:rsidR="00CB1CBD">
        <w:rPr>
          <w:rFonts w:ascii="Century Gothic" w:hAnsi="Century Gothic" w:cstheme="minorHAnsi"/>
          <w:bCs/>
          <w:color w:val="000000" w:themeColor="text1"/>
          <w:lang w:val="en-US"/>
        </w:rPr>
        <w:t xml:space="preserve"> and</w:t>
      </w:r>
    </w:p>
    <w:p w14:paraId="61808F0D" w14:textId="1F9E54EC" w:rsidR="00A0473D" w:rsidRPr="005B0AD6" w:rsidRDefault="00A0473D" w:rsidP="004C535B">
      <w:pPr>
        <w:pStyle w:val="ListParagraph"/>
        <w:numPr>
          <w:ilvl w:val="0"/>
          <w:numId w:val="15"/>
        </w:numPr>
        <w:spacing w:before="120" w:line="288" w:lineRule="auto"/>
        <w:ind w:left="284" w:hanging="284"/>
        <w:contextualSpacing w:val="0"/>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 xml:space="preserve">inform the SEQOHS office of any planned changes which may </w:t>
      </w:r>
      <w:r w:rsidR="00FB0E9C">
        <w:rPr>
          <w:rFonts w:ascii="Century Gothic" w:hAnsi="Century Gothic" w:cstheme="minorHAnsi"/>
          <w:bCs/>
          <w:color w:val="000000" w:themeColor="text1"/>
          <w:lang w:val="en-US"/>
        </w:rPr>
        <w:t xml:space="preserve">impact </w:t>
      </w:r>
      <w:r w:rsidRPr="005B0AD6">
        <w:rPr>
          <w:rFonts w:ascii="Century Gothic" w:hAnsi="Century Gothic" w:cstheme="minorHAnsi"/>
          <w:bCs/>
          <w:color w:val="000000" w:themeColor="text1"/>
          <w:lang w:val="en-US"/>
        </w:rPr>
        <w:t xml:space="preserve">the </w:t>
      </w:r>
      <w:r w:rsidR="00BA7FB0">
        <w:rPr>
          <w:rFonts w:ascii="Century Gothic" w:hAnsi="Century Gothic" w:cstheme="minorHAnsi"/>
          <w:bCs/>
          <w:color w:val="000000" w:themeColor="text1"/>
          <w:lang w:val="en-US"/>
        </w:rPr>
        <w:t>S</w:t>
      </w:r>
      <w:r w:rsidRPr="005B0AD6">
        <w:rPr>
          <w:rFonts w:ascii="Century Gothic" w:hAnsi="Century Gothic" w:cstheme="minorHAnsi"/>
          <w:bCs/>
          <w:color w:val="000000" w:themeColor="text1"/>
          <w:lang w:val="en-US"/>
        </w:rPr>
        <w:t xml:space="preserve">ervice’s conformity with this </w:t>
      </w:r>
      <w:r w:rsidR="001C0756">
        <w:rPr>
          <w:rFonts w:ascii="Century Gothic" w:hAnsi="Century Gothic" w:cstheme="minorHAnsi"/>
          <w:bCs/>
          <w:color w:val="000000" w:themeColor="text1"/>
          <w:lang w:val="en-US"/>
        </w:rPr>
        <w:t>A</w:t>
      </w:r>
      <w:r w:rsidRPr="005B0AD6">
        <w:rPr>
          <w:rFonts w:ascii="Century Gothic" w:hAnsi="Century Gothic" w:cstheme="minorHAnsi"/>
          <w:bCs/>
          <w:color w:val="000000" w:themeColor="text1"/>
          <w:lang w:val="en-US"/>
        </w:rPr>
        <w:t xml:space="preserve">greement and SEQOHS </w:t>
      </w:r>
      <w:r w:rsidR="00BA7FB0">
        <w:rPr>
          <w:rFonts w:ascii="Century Gothic" w:hAnsi="Century Gothic" w:cstheme="minorHAnsi"/>
          <w:bCs/>
          <w:color w:val="000000" w:themeColor="text1"/>
          <w:lang w:val="en-US"/>
        </w:rPr>
        <w:t>S</w:t>
      </w:r>
      <w:r w:rsidRPr="005B0AD6">
        <w:rPr>
          <w:rFonts w:ascii="Century Gothic" w:hAnsi="Century Gothic" w:cstheme="minorHAnsi"/>
          <w:bCs/>
          <w:color w:val="000000" w:themeColor="text1"/>
          <w:lang w:val="en-US"/>
        </w:rPr>
        <w:t xml:space="preserve">tandards or may otherwise affect, or potentially affect, the </w:t>
      </w:r>
      <w:r w:rsidR="003041BE">
        <w:rPr>
          <w:rFonts w:ascii="Century Gothic" w:hAnsi="Century Gothic" w:cstheme="minorHAnsi"/>
          <w:bCs/>
          <w:color w:val="000000" w:themeColor="text1"/>
          <w:lang w:val="en-US"/>
        </w:rPr>
        <w:t>S</w:t>
      </w:r>
      <w:r w:rsidRPr="005B0AD6">
        <w:rPr>
          <w:rFonts w:ascii="Century Gothic" w:hAnsi="Century Gothic" w:cstheme="minorHAnsi"/>
          <w:bCs/>
          <w:color w:val="000000" w:themeColor="text1"/>
          <w:lang w:val="en-US"/>
        </w:rPr>
        <w:t>ervice’s capability or scope of accreditation, including but not limited to the following changes:</w:t>
      </w:r>
    </w:p>
    <w:p w14:paraId="1BFCD8D1" w14:textId="77777777" w:rsidR="00A0473D" w:rsidRPr="005B0AD6" w:rsidRDefault="00A0473D" w:rsidP="004C535B">
      <w:pPr>
        <w:pStyle w:val="ListParagraph"/>
        <w:numPr>
          <w:ilvl w:val="1"/>
          <w:numId w:val="4"/>
        </w:numPr>
        <w:spacing w:before="120" w:line="288" w:lineRule="auto"/>
        <w:ind w:left="567" w:hanging="283"/>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Ownership – mergers / acquisitions / sale</w:t>
      </w:r>
    </w:p>
    <w:p w14:paraId="4E167D67" w14:textId="77777777" w:rsidR="00A0473D" w:rsidRPr="005B0AD6" w:rsidRDefault="00A0473D" w:rsidP="004C535B">
      <w:pPr>
        <w:pStyle w:val="ListParagraph"/>
        <w:numPr>
          <w:ilvl w:val="1"/>
          <w:numId w:val="4"/>
        </w:numPr>
        <w:spacing w:before="120" w:line="288" w:lineRule="auto"/>
        <w:ind w:left="567" w:hanging="283"/>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 xml:space="preserve">Legal, commercial or </w:t>
      </w:r>
      <w:proofErr w:type="spellStart"/>
      <w:r w:rsidRPr="005B0AD6">
        <w:rPr>
          <w:rFonts w:ascii="Century Gothic" w:hAnsi="Century Gothic" w:cstheme="minorHAnsi"/>
          <w:bCs/>
          <w:color w:val="000000" w:themeColor="text1"/>
          <w:lang w:val="en-US"/>
        </w:rPr>
        <w:t>organisational</w:t>
      </w:r>
      <w:proofErr w:type="spellEnd"/>
      <w:r w:rsidRPr="005B0AD6">
        <w:rPr>
          <w:rFonts w:ascii="Century Gothic" w:hAnsi="Century Gothic" w:cstheme="minorHAnsi"/>
          <w:bCs/>
          <w:color w:val="000000" w:themeColor="text1"/>
          <w:lang w:val="en-US"/>
        </w:rPr>
        <w:t xml:space="preserve"> status</w:t>
      </w:r>
    </w:p>
    <w:p w14:paraId="4FD5AA17" w14:textId="77777777" w:rsidR="00A0473D" w:rsidRPr="005B0AD6" w:rsidRDefault="00A0473D" w:rsidP="004C535B">
      <w:pPr>
        <w:pStyle w:val="ListParagraph"/>
        <w:numPr>
          <w:ilvl w:val="1"/>
          <w:numId w:val="4"/>
        </w:numPr>
        <w:spacing w:before="120" w:line="288" w:lineRule="auto"/>
        <w:ind w:left="567" w:hanging="283"/>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 xml:space="preserve">Key </w:t>
      </w:r>
      <w:proofErr w:type="spellStart"/>
      <w:r w:rsidRPr="005B0AD6">
        <w:rPr>
          <w:rFonts w:ascii="Century Gothic" w:hAnsi="Century Gothic" w:cstheme="minorHAnsi"/>
          <w:bCs/>
          <w:color w:val="000000" w:themeColor="text1"/>
          <w:lang w:val="en-US"/>
        </w:rPr>
        <w:t>organisation</w:t>
      </w:r>
      <w:proofErr w:type="spellEnd"/>
      <w:r w:rsidRPr="005B0AD6">
        <w:rPr>
          <w:rFonts w:ascii="Century Gothic" w:hAnsi="Century Gothic" w:cstheme="minorHAnsi"/>
          <w:bCs/>
          <w:color w:val="000000" w:themeColor="text1"/>
          <w:lang w:val="en-US"/>
        </w:rPr>
        <w:t xml:space="preserve"> or management capabilities</w:t>
      </w:r>
    </w:p>
    <w:p w14:paraId="52EB0DBE" w14:textId="77777777" w:rsidR="00A0473D" w:rsidRPr="005B0AD6" w:rsidRDefault="00A0473D" w:rsidP="004C535B">
      <w:pPr>
        <w:pStyle w:val="ListParagraph"/>
        <w:numPr>
          <w:ilvl w:val="1"/>
          <w:numId w:val="4"/>
        </w:numPr>
        <w:spacing w:before="120" w:line="288" w:lineRule="auto"/>
        <w:ind w:left="567" w:hanging="283"/>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Personnel, equipment, facilities, working environment or other resources, where significant</w:t>
      </w:r>
    </w:p>
    <w:p w14:paraId="1E7B269D" w14:textId="50C59116" w:rsidR="00A0473D" w:rsidRPr="005B0AD6" w:rsidRDefault="00A0473D" w:rsidP="004C535B">
      <w:pPr>
        <w:pStyle w:val="ListParagraph"/>
        <w:numPr>
          <w:ilvl w:val="1"/>
          <w:numId w:val="4"/>
        </w:numPr>
        <w:spacing w:before="120" w:line="288" w:lineRule="auto"/>
        <w:ind w:left="567" w:hanging="283"/>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Premises</w:t>
      </w:r>
    </w:p>
    <w:p w14:paraId="3E601AED" w14:textId="15E024A9" w:rsidR="00A0473D" w:rsidRPr="007E41CC" w:rsidRDefault="00A0473D" w:rsidP="005C15AC">
      <w:pPr>
        <w:pStyle w:val="Heading1"/>
      </w:pPr>
      <w:r w:rsidRPr="007E41CC">
        <w:lastRenderedPageBreak/>
        <w:t>Indemnity</w:t>
      </w:r>
    </w:p>
    <w:p w14:paraId="07F5DB2E" w14:textId="022E413E" w:rsidR="00A0473D" w:rsidRPr="005B0AD6" w:rsidRDefault="00A0473D"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The </w:t>
      </w:r>
      <w:r w:rsidR="00342932">
        <w:rPr>
          <w:rFonts w:ascii="Century Gothic" w:hAnsi="Century Gothic" w:cstheme="minorHAnsi"/>
          <w:bCs/>
          <w:color w:val="000000" w:themeColor="text1"/>
          <w:sz w:val="22"/>
          <w:szCs w:val="22"/>
          <w:lang w:val="en-US"/>
        </w:rPr>
        <w:t xml:space="preserve">Service </w:t>
      </w:r>
      <w:r w:rsidRPr="005B0AD6">
        <w:rPr>
          <w:rFonts w:ascii="Century Gothic" w:hAnsi="Century Gothic" w:cstheme="minorHAnsi"/>
          <w:bCs/>
          <w:color w:val="000000" w:themeColor="text1"/>
          <w:sz w:val="22"/>
          <w:szCs w:val="22"/>
          <w:lang w:val="en-US"/>
        </w:rPr>
        <w:t xml:space="preserve">undertakes to indemnify the Faculty of Occupational Medicine, through the SEQOHS accreditation scheme, against any losses suffered by or claims made against it, as a result of misuse by the </w:t>
      </w:r>
      <w:r w:rsidR="00342932">
        <w:rPr>
          <w:rFonts w:ascii="Century Gothic" w:hAnsi="Century Gothic" w:cstheme="minorHAnsi"/>
          <w:bCs/>
          <w:color w:val="000000" w:themeColor="text1"/>
          <w:sz w:val="22"/>
          <w:szCs w:val="22"/>
          <w:lang w:val="en-US"/>
        </w:rPr>
        <w:t>S</w:t>
      </w:r>
      <w:r w:rsidRPr="005B0AD6">
        <w:rPr>
          <w:rFonts w:ascii="Century Gothic" w:hAnsi="Century Gothic" w:cstheme="minorHAnsi"/>
          <w:bCs/>
          <w:color w:val="000000" w:themeColor="text1"/>
          <w:sz w:val="22"/>
          <w:szCs w:val="22"/>
          <w:lang w:val="en-US"/>
        </w:rPr>
        <w:t xml:space="preserve">ervice of any certificate of accreditation or </w:t>
      </w:r>
      <w:proofErr w:type="spellStart"/>
      <w:r w:rsidRPr="005B0AD6">
        <w:rPr>
          <w:rFonts w:ascii="Century Gothic" w:hAnsi="Century Gothic" w:cstheme="minorHAnsi"/>
          <w:bCs/>
          <w:color w:val="000000" w:themeColor="text1"/>
          <w:sz w:val="22"/>
          <w:szCs w:val="22"/>
          <w:lang w:val="en-US"/>
        </w:rPr>
        <w:t>licence</w:t>
      </w:r>
      <w:proofErr w:type="spellEnd"/>
      <w:r w:rsidRPr="005B0AD6">
        <w:rPr>
          <w:rFonts w:ascii="Century Gothic" w:hAnsi="Century Gothic" w:cstheme="minorHAnsi"/>
          <w:bCs/>
          <w:color w:val="000000" w:themeColor="text1"/>
          <w:sz w:val="22"/>
          <w:szCs w:val="22"/>
          <w:lang w:val="en-US"/>
        </w:rPr>
        <w:t xml:space="preserve"> to use any accreditation mark granted by, or as a result of any breach by the </w:t>
      </w:r>
      <w:r w:rsidR="00354430">
        <w:rPr>
          <w:rFonts w:ascii="Century Gothic" w:hAnsi="Century Gothic" w:cstheme="minorHAnsi"/>
          <w:bCs/>
          <w:color w:val="000000" w:themeColor="text1"/>
          <w:sz w:val="22"/>
          <w:szCs w:val="22"/>
          <w:lang w:val="en-US"/>
        </w:rPr>
        <w:t>S</w:t>
      </w:r>
      <w:r w:rsidRPr="005B0AD6">
        <w:rPr>
          <w:rFonts w:ascii="Century Gothic" w:hAnsi="Century Gothic" w:cstheme="minorHAnsi"/>
          <w:bCs/>
          <w:color w:val="000000" w:themeColor="text1"/>
          <w:sz w:val="22"/>
          <w:szCs w:val="22"/>
          <w:lang w:val="en-US"/>
        </w:rPr>
        <w:t xml:space="preserve">ervice of the terms of this </w:t>
      </w:r>
      <w:r w:rsidR="001C0756">
        <w:rPr>
          <w:rFonts w:ascii="Century Gothic" w:hAnsi="Century Gothic" w:cstheme="minorHAnsi"/>
          <w:bCs/>
          <w:color w:val="000000" w:themeColor="text1"/>
          <w:sz w:val="22"/>
          <w:szCs w:val="22"/>
          <w:lang w:val="en-US"/>
        </w:rPr>
        <w:t>A</w:t>
      </w:r>
      <w:r w:rsidRPr="005B0AD6">
        <w:rPr>
          <w:rFonts w:ascii="Century Gothic" w:hAnsi="Century Gothic" w:cstheme="minorHAnsi"/>
          <w:bCs/>
          <w:color w:val="000000" w:themeColor="text1"/>
          <w:sz w:val="22"/>
          <w:szCs w:val="22"/>
          <w:lang w:val="en-US"/>
        </w:rPr>
        <w:t>greement.</w:t>
      </w:r>
    </w:p>
    <w:p w14:paraId="747818E6" w14:textId="53746BA6" w:rsidR="00A0473D" w:rsidRPr="005B0AD6" w:rsidRDefault="00A0473D"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The </w:t>
      </w:r>
      <w:r w:rsidR="00676E99">
        <w:rPr>
          <w:rFonts w:ascii="Century Gothic" w:hAnsi="Century Gothic" w:cstheme="minorHAnsi"/>
          <w:bCs/>
          <w:color w:val="000000" w:themeColor="text1"/>
          <w:sz w:val="22"/>
          <w:szCs w:val="22"/>
          <w:lang w:val="en-US"/>
        </w:rPr>
        <w:t>S</w:t>
      </w:r>
      <w:r w:rsidRPr="005B0AD6">
        <w:rPr>
          <w:rFonts w:ascii="Century Gothic" w:hAnsi="Century Gothic" w:cstheme="minorHAnsi"/>
          <w:bCs/>
          <w:color w:val="000000" w:themeColor="text1"/>
          <w:sz w:val="22"/>
          <w:szCs w:val="22"/>
          <w:lang w:val="en-US"/>
        </w:rPr>
        <w:t xml:space="preserve">ervice acknowledges that this </w:t>
      </w:r>
      <w:r w:rsidR="001C0756">
        <w:rPr>
          <w:rFonts w:ascii="Century Gothic" w:hAnsi="Century Gothic" w:cstheme="minorHAnsi"/>
          <w:bCs/>
          <w:color w:val="000000" w:themeColor="text1"/>
          <w:sz w:val="22"/>
          <w:szCs w:val="22"/>
          <w:lang w:val="en-US"/>
        </w:rPr>
        <w:t>A</w:t>
      </w:r>
      <w:r w:rsidRPr="005B0AD6">
        <w:rPr>
          <w:rFonts w:ascii="Century Gothic" w:hAnsi="Century Gothic" w:cstheme="minorHAnsi"/>
          <w:bCs/>
          <w:color w:val="000000" w:themeColor="text1"/>
          <w:sz w:val="22"/>
          <w:szCs w:val="22"/>
          <w:lang w:val="en-US"/>
        </w:rPr>
        <w:t xml:space="preserve">greement shall not operate to grant, assign or transfer to the </w:t>
      </w:r>
      <w:r w:rsidR="00B93C83">
        <w:rPr>
          <w:rFonts w:ascii="Century Gothic" w:hAnsi="Century Gothic" w:cstheme="minorHAnsi"/>
          <w:bCs/>
          <w:color w:val="000000" w:themeColor="text1"/>
          <w:sz w:val="22"/>
          <w:szCs w:val="22"/>
          <w:lang w:val="en-US"/>
        </w:rPr>
        <w:t>Service</w:t>
      </w:r>
      <w:r w:rsidRPr="005B0AD6">
        <w:rPr>
          <w:rFonts w:ascii="Century Gothic" w:hAnsi="Century Gothic" w:cstheme="minorHAnsi"/>
          <w:bCs/>
          <w:color w:val="000000" w:themeColor="text1"/>
          <w:sz w:val="22"/>
          <w:szCs w:val="22"/>
          <w:lang w:val="en-US"/>
        </w:rPr>
        <w:t xml:space="preserve"> any intellectual property rights in the </w:t>
      </w:r>
      <w:r w:rsidR="009811C3">
        <w:rPr>
          <w:rFonts w:ascii="Century Gothic" w:hAnsi="Century Gothic" w:cstheme="minorHAnsi"/>
          <w:bCs/>
          <w:color w:val="000000" w:themeColor="text1"/>
          <w:sz w:val="22"/>
          <w:szCs w:val="22"/>
          <w:lang w:val="en-US"/>
        </w:rPr>
        <w:t>SEQOHS</w:t>
      </w:r>
      <w:r w:rsidRPr="005B0AD6">
        <w:rPr>
          <w:rFonts w:ascii="Century Gothic" w:hAnsi="Century Gothic" w:cstheme="minorHAnsi"/>
          <w:bCs/>
          <w:color w:val="000000" w:themeColor="text1"/>
          <w:sz w:val="22"/>
          <w:szCs w:val="22"/>
          <w:lang w:val="en-US"/>
        </w:rPr>
        <w:t xml:space="preserve"> logo </w:t>
      </w:r>
      <w:r w:rsidR="00676E99">
        <w:rPr>
          <w:rFonts w:ascii="Century Gothic" w:hAnsi="Century Gothic" w:cstheme="minorHAnsi"/>
          <w:bCs/>
          <w:color w:val="000000" w:themeColor="text1"/>
          <w:sz w:val="22"/>
          <w:szCs w:val="22"/>
          <w:lang w:val="en-US"/>
        </w:rPr>
        <w:t>or</w:t>
      </w:r>
      <w:r w:rsidRPr="005B0AD6">
        <w:rPr>
          <w:rFonts w:ascii="Century Gothic" w:hAnsi="Century Gothic" w:cstheme="minorHAnsi"/>
          <w:bCs/>
          <w:color w:val="000000" w:themeColor="text1"/>
          <w:sz w:val="22"/>
          <w:szCs w:val="22"/>
          <w:lang w:val="en-US"/>
        </w:rPr>
        <w:t xml:space="preserve"> any goodwill in the same. The </w:t>
      </w:r>
      <w:r w:rsidR="00AD390E">
        <w:rPr>
          <w:rFonts w:ascii="Century Gothic" w:hAnsi="Century Gothic" w:cstheme="minorHAnsi"/>
          <w:bCs/>
          <w:color w:val="000000" w:themeColor="text1"/>
          <w:sz w:val="22"/>
          <w:szCs w:val="22"/>
          <w:lang w:val="en-US"/>
        </w:rPr>
        <w:t>Service</w:t>
      </w:r>
      <w:r w:rsidRPr="005B0AD6">
        <w:rPr>
          <w:rFonts w:ascii="Century Gothic" w:hAnsi="Century Gothic" w:cstheme="minorHAnsi"/>
          <w:bCs/>
          <w:color w:val="000000" w:themeColor="text1"/>
          <w:sz w:val="22"/>
          <w:szCs w:val="22"/>
          <w:lang w:val="en-US"/>
        </w:rPr>
        <w:t xml:space="preserve"> warrants and undertakes to immediately discontinue any permitted use of the </w:t>
      </w:r>
      <w:r w:rsidR="009811C3">
        <w:rPr>
          <w:rFonts w:ascii="Century Gothic" w:hAnsi="Century Gothic" w:cstheme="minorHAnsi"/>
          <w:bCs/>
          <w:color w:val="000000" w:themeColor="text1"/>
          <w:sz w:val="22"/>
          <w:szCs w:val="22"/>
          <w:lang w:val="en-US"/>
        </w:rPr>
        <w:t>SEQOHS</w:t>
      </w:r>
      <w:r w:rsidRPr="005B0AD6">
        <w:rPr>
          <w:rFonts w:ascii="Century Gothic" w:hAnsi="Century Gothic" w:cstheme="minorHAnsi"/>
          <w:bCs/>
          <w:color w:val="000000" w:themeColor="text1"/>
          <w:sz w:val="22"/>
          <w:szCs w:val="22"/>
          <w:lang w:val="en-US"/>
        </w:rPr>
        <w:t xml:space="preserve"> logo upon the expiration of the term</w:t>
      </w:r>
      <w:r w:rsidR="00F52683">
        <w:rPr>
          <w:rFonts w:ascii="Century Gothic" w:hAnsi="Century Gothic" w:cstheme="minorHAnsi"/>
          <w:bCs/>
          <w:color w:val="000000" w:themeColor="text1"/>
          <w:sz w:val="22"/>
          <w:szCs w:val="22"/>
          <w:lang w:val="en-US"/>
        </w:rPr>
        <w:t xml:space="preserve">, </w:t>
      </w:r>
      <w:r w:rsidRPr="005B0AD6">
        <w:rPr>
          <w:rFonts w:ascii="Century Gothic" w:hAnsi="Century Gothic" w:cstheme="minorHAnsi"/>
          <w:bCs/>
          <w:color w:val="000000" w:themeColor="text1"/>
          <w:sz w:val="22"/>
          <w:szCs w:val="22"/>
          <w:lang w:val="en-US"/>
        </w:rPr>
        <w:t xml:space="preserve">unless the </w:t>
      </w:r>
      <w:r w:rsidR="001C0756">
        <w:rPr>
          <w:rFonts w:ascii="Century Gothic" w:hAnsi="Century Gothic" w:cstheme="minorHAnsi"/>
          <w:bCs/>
          <w:color w:val="000000" w:themeColor="text1"/>
          <w:sz w:val="22"/>
          <w:szCs w:val="22"/>
          <w:lang w:val="en-US"/>
        </w:rPr>
        <w:t>A</w:t>
      </w:r>
      <w:r w:rsidRPr="005B0AD6">
        <w:rPr>
          <w:rFonts w:ascii="Century Gothic" w:hAnsi="Century Gothic" w:cstheme="minorHAnsi"/>
          <w:bCs/>
          <w:color w:val="000000" w:themeColor="text1"/>
          <w:sz w:val="22"/>
          <w:szCs w:val="22"/>
          <w:lang w:val="en-US"/>
        </w:rPr>
        <w:t>greement shall be renewed</w:t>
      </w:r>
      <w:r w:rsidR="00F52683">
        <w:rPr>
          <w:rFonts w:ascii="Century Gothic" w:hAnsi="Century Gothic" w:cstheme="minorHAnsi"/>
          <w:bCs/>
          <w:color w:val="000000" w:themeColor="text1"/>
          <w:sz w:val="22"/>
          <w:szCs w:val="22"/>
          <w:lang w:val="en-US"/>
        </w:rPr>
        <w:t>,</w:t>
      </w:r>
      <w:r w:rsidR="008857D2">
        <w:rPr>
          <w:rFonts w:ascii="Century Gothic" w:hAnsi="Century Gothic" w:cstheme="minorHAnsi"/>
          <w:bCs/>
          <w:color w:val="000000" w:themeColor="text1"/>
          <w:sz w:val="22"/>
          <w:szCs w:val="22"/>
          <w:lang w:val="en-US"/>
        </w:rPr>
        <w:t xml:space="preserve"> </w:t>
      </w:r>
      <w:r w:rsidRPr="005B0AD6">
        <w:rPr>
          <w:rFonts w:ascii="Century Gothic" w:hAnsi="Century Gothic" w:cstheme="minorHAnsi"/>
          <w:bCs/>
          <w:color w:val="000000" w:themeColor="text1"/>
          <w:sz w:val="22"/>
          <w:szCs w:val="22"/>
          <w:lang w:val="en-US"/>
        </w:rPr>
        <w:t xml:space="preserve">upon the suspension or termination of this </w:t>
      </w:r>
      <w:r w:rsidR="001C0756">
        <w:rPr>
          <w:rFonts w:ascii="Century Gothic" w:hAnsi="Century Gothic" w:cstheme="minorHAnsi"/>
          <w:bCs/>
          <w:color w:val="000000" w:themeColor="text1"/>
          <w:sz w:val="22"/>
          <w:szCs w:val="22"/>
          <w:lang w:val="en-US"/>
        </w:rPr>
        <w:t>A</w:t>
      </w:r>
      <w:r w:rsidRPr="005B0AD6">
        <w:rPr>
          <w:rFonts w:ascii="Century Gothic" w:hAnsi="Century Gothic" w:cstheme="minorHAnsi"/>
          <w:bCs/>
          <w:color w:val="000000" w:themeColor="text1"/>
          <w:sz w:val="22"/>
          <w:szCs w:val="22"/>
          <w:lang w:val="en-US"/>
        </w:rPr>
        <w:t>greement.</w:t>
      </w:r>
    </w:p>
    <w:p w14:paraId="24B5B3FA" w14:textId="77777777" w:rsidR="00A95BCF" w:rsidRPr="00A95BCF" w:rsidRDefault="00A95BCF" w:rsidP="005C15AC">
      <w:pPr>
        <w:pStyle w:val="Heading1"/>
      </w:pPr>
      <w:r w:rsidRPr="00A95BCF">
        <w:t>Disclaimer</w:t>
      </w:r>
    </w:p>
    <w:p w14:paraId="69C647EC" w14:textId="384F9CA0" w:rsidR="00A95BCF" w:rsidRPr="005B0AD6" w:rsidRDefault="00A95BCF"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While SEQOHS has taken reasonable steps to ensure that the </w:t>
      </w:r>
      <w:r w:rsidR="006E44B4">
        <w:rPr>
          <w:rFonts w:ascii="Century Gothic" w:hAnsi="Century Gothic" w:cstheme="minorHAnsi"/>
          <w:bCs/>
          <w:color w:val="000000" w:themeColor="text1"/>
          <w:sz w:val="22"/>
          <w:szCs w:val="22"/>
          <w:lang w:val="en-US"/>
        </w:rPr>
        <w:t xml:space="preserve">current </w:t>
      </w:r>
      <w:r w:rsidRPr="005B0AD6">
        <w:rPr>
          <w:rFonts w:ascii="Century Gothic" w:hAnsi="Century Gothic" w:cstheme="minorHAnsi"/>
          <w:bCs/>
          <w:color w:val="000000" w:themeColor="text1"/>
          <w:sz w:val="22"/>
          <w:szCs w:val="22"/>
          <w:lang w:val="en-US"/>
        </w:rPr>
        <w:t xml:space="preserve">SEQOHS </w:t>
      </w:r>
      <w:r w:rsidR="006E44B4">
        <w:rPr>
          <w:rFonts w:ascii="Century Gothic" w:hAnsi="Century Gothic" w:cstheme="minorHAnsi"/>
          <w:bCs/>
          <w:color w:val="000000" w:themeColor="text1"/>
          <w:sz w:val="22"/>
          <w:szCs w:val="22"/>
          <w:lang w:val="en-US"/>
        </w:rPr>
        <w:t>S</w:t>
      </w:r>
      <w:r w:rsidRPr="005B0AD6">
        <w:rPr>
          <w:rFonts w:ascii="Century Gothic" w:hAnsi="Century Gothic" w:cstheme="minorHAnsi"/>
          <w:bCs/>
          <w:color w:val="000000" w:themeColor="text1"/>
          <w:sz w:val="22"/>
          <w:szCs w:val="22"/>
          <w:lang w:val="en-US"/>
        </w:rPr>
        <w:t>tandards</w:t>
      </w:r>
      <w:r w:rsidR="00C2265E">
        <w:rPr>
          <w:rFonts w:ascii="Century Gothic" w:hAnsi="Century Gothic" w:cstheme="minorHAnsi"/>
          <w:bCs/>
          <w:color w:val="000000" w:themeColor="text1"/>
          <w:sz w:val="22"/>
          <w:szCs w:val="22"/>
          <w:lang w:val="en-US"/>
        </w:rPr>
        <w:t xml:space="preserve"> </w:t>
      </w:r>
      <w:r w:rsidRPr="005B0AD6">
        <w:rPr>
          <w:rFonts w:ascii="Century Gothic" w:hAnsi="Century Gothic" w:cstheme="minorHAnsi"/>
          <w:bCs/>
          <w:color w:val="000000" w:themeColor="text1"/>
          <w:sz w:val="22"/>
          <w:szCs w:val="22"/>
          <w:lang w:val="en-US"/>
        </w:rPr>
        <w:t xml:space="preserve">are fit for the purpose of accrediting the </w:t>
      </w:r>
      <w:r w:rsidR="00465F57">
        <w:rPr>
          <w:rFonts w:ascii="Century Gothic" w:hAnsi="Century Gothic" w:cstheme="minorHAnsi"/>
          <w:bCs/>
          <w:color w:val="000000" w:themeColor="text1"/>
          <w:sz w:val="22"/>
          <w:szCs w:val="22"/>
          <w:lang w:val="en-US"/>
        </w:rPr>
        <w:t>Service</w:t>
      </w:r>
      <w:r w:rsidRPr="005B0AD6">
        <w:rPr>
          <w:rFonts w:ascii="Century Gothic" w:hAnsi="Century Gothic" w:cstheme="minorHAnsi"/>
          <w:bCs/>
          <w:color w:val="000000" w:themeColor="text1"/>
          <w:sz w:val="22"/>
          <w:szCs w:val="22"/>
          <w:lang w:val="en-US"/>
        </w:rPr>
        <w:t>:</w:t>
      </w:r>
    </w:p>
    <w:p w14:paraId="76C21B39" w14:textId="05D0CB9A" w:rsidR="00A95BCF" w:rsidRPr="005B0AD6" w:rsidRDefault="00A95BCF" w:rsidP="004C535B">
      <w:pPr>
        <w:pStyle w:val="ListParagraph"/>
        <w:numPr>
          <w:ilvl w:val="3"/>
          <w:numId w:val="11"/>
        </w:numPr>
        <w:spacing w:before="120" w:line="288" w:lineRule="auto"/>
        <w:ind w:left="567" w:hanging="567"/>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 xml:space="preserve">This is not warranted and to the maximum extent permitted by law SEQOHS will not have any liability to any </w:t>
      </w:r>
      <w:r w:rsidR="00916B62">
        <w:rPr>
          <w:rFonts w:ascii="Century Gothic" w:hAnsi="Century Gothic" w:cstheme="minorHAnsi"/>
          <w:bCs/>
          <w:color w:val="000000" w:themeColor="text1"/>
          <w:lang w:val="en-US"/>
        </w:rPr>
        <w:t xml:space="preserve">Service </w:t>
      </w:r>
      <w:r w:rsidRPr="005B0AD6">
        <w:rPr>
          <w:rFonts w:ascii="Century Gothic" w:hAnsi="Century Gothic" w:cstheme="minorHAnsi"/>
          <w:bCs/>
          <w:color w:val="000000" w:themeColor="text1"/>
          <w:lang w:val="en-US"/>
        </w:rPr>
        <w:t xml:space="preserve">or any other person in the event that the </w:t>
      </w:r>
      <w:r w:rsidR="007C425A">
        <w:rPr>
          <w:rFonts w:ascii="Century Gothic" w:hAnsi="Century Gothic" w:cstheme="minorHAnsi"/>
          <w:bCs/>
          <w:color w:val="000000" w:themeColor="text1"/>
          <w:lang w:val="en-US"/>
        </w:rPr>
        <w:t xml:space="preserve">current </w:t>
      </w:r>
      <w:r w:rsidRPr="005B0AD6">
        <w:rPr>
          <w:rFonts w:ascii="Century Gothic" w:hAnsi="Century Gothic" w:cstheme="minorHAnsi"/>
          <w:bCs/>
          <w:color w:val="000000" w:themeColor="text1"/>
          <w:lang w:val="en-US"/>
        </w:rPr>
        <w:t xml:space="preserve">SEQOHS </w:t>
      </w:r>
      <w:r w:rsidR="0036550C">
        <w:rPr>
          <w:rFonts w:ascii="Century Gothic" w:hAnsi="Century Gothic" w:cstheme="minorHAnsi"/>
          <w:bCs/>
          <w:color w:val="000000" w:themeColor="text1"/>
          <w:lang w:val="en-US"/>
        </w:rPr>
        <w:t>S</w:t>
      </w:r>
      <w:r w:rsidRPr="005B0AD6">
        <w:rPr>
          <w:rFonts w:ascii="Century Gothic" w:hAnsi="Century Gothic" w:cstheme="minorHAnsi"/>
          <w:bCs/>
          <w:color w:val="000000" w:themeColor="text1"/>
          <w:lang w:val="en-US"/>
        </w:rPr>
        <w:t>tandard</w:t>
      </w:r>
      <w:r w:rsidR="007C425A">
        <w:rPr>
          <w:rFonts w:ascii="Century Gothic" w:hAnsi="Century Gothic" w:cstheme="minorHAnsi"/>
          <w:bCs/>
          <w:color w:val="000000" w:themeColor="text1"/>
          <w:lang w:val="en-US"/>
        </w:rPr>
        <w:t>s</w:t>
      </w:r>
      <w:r w:rsidRPr="005B0AD6">
        <w:rPr>
          <w:rFonts w:ascii="Century Gothic" w:hAnsi="Century Gothic" w:cstheme="minorHAnsi"/>
          <w:bCs/>
          <w:color w:val="000000" w:themeColor="text1"/>
          <w:lang w:val="en-US"/>
        </w:rPr>
        <w:t xml:space="preserve"> </w:t>
      </w:r>
      <w:r w:rsidR="0036550C">
        <w:rPr>
          <w:rFonts w:ascii="Century Gothic" w:hAnsi="Century Gothic" w:cstheme="minorHAnsi"/>
          <w:bCs/>
          <w:color w:val="000000" w:themeColor="text1"/>
          <w:lang w:val="en-US"/>
        </w:rPr>
        <w:t>are</w:t>
      </w:r>
      <w:r w:rsidRPr="005B0AD6">
        <w:rPr>
          <w:rFonts w:ascii="Century Gothic" w:hAnsi="Century Gothic" w:cstheme="minorHAnsi"/>
          <w:bCs/>
          <w:color w:val="000000" w:themeColor="text1"/>
          <w:lang w:val="en-US"/>
        </w:rPr>
        <w:t xml:space="preserve"> not fit for such purpose.</w:t>
      </w:r>
    </w:p>
    <w:p w14:paraId="351FEC36" w14:textId="3DE89335" w:rsidR="00A95BCF" w:rsidRPr="005B0AD6" w:rsidRDefault="00A95BCF" w:rsidP="004C535B">
      <w:pPr>
        <w:pStyle w:val="ListParagraph"/>
        <w:numPr>
          <w:ilvl w:val="3"/>
          <w:numId w:val="11"/>
        </w:numPr>
        <w:spacing w:before="120" w:line="288" w:lineRule="auto"/>
        <w:ind w:left="567" w:hanging="567"/>
        <w:jc w:val="both"/>
        <w:rPr>
          <w:rFonts w:ascii="Century Gothic" w:hAnsi="Century Gothic" w:cstheme="minorHAnsi"/>
          <w:bCs/>
          <w:color w:val="000000" w:themeColor="text1"/>
          <w:lang w:val="en-US"/>
        </w:rPr>
      </w:pPr>
      <w:r w:rsidRPr="005B0AD6">
        <w:rPr>
          <w:rFonts w:ascii="Century Gothic" w:hAnsi="Century Gothic" w:cstheme="minorHAnsi"/>
          <w:bCs/>
          <w:color w:val="000000" w:themeColor="text1"/>
          <w:lang w:val="en-US"/>
        </w:rPr>
        <w:t>The provision of</w:t>
      </w:r>
      <w:r w:rsidR="001842DC">
        <w:rPr>
          <w:rFonts w:ascii="Century Gothic" w:hAnsi="Century Gothic" w:cstheme="minorHAnsi"/>
          <w:bCs/>
          <w:color w:val="000000" w:themeColor="text1"/>
          <w:lang w:val="en-US"/>
        </w:rPr>
        <w:t xml:space="preserve"> </w:t>
      </w:r>
      <w:r w:rsidRPr="005B0AD6">
        <w:rPr>
          <w:rFonts w:ascii="Century Gothic" w:hAnsi="Century Gothic" w:cstheme="minorHAnsi"/>
          <w:bCs/>
          <w:color w:val="000000" w:themeColor="text1"/>
          <w:lang w:val="en-US"/>
        </w:rPr>
        <w:t>services by a</w:t>
      </w:r>
      <w:r w:rsidR="001842DC">
        <w:rPr>
          <w:rFonts w:ascii="Century Gothic" w:hAnsi="Century Gothic" w:cstheme="minorHAnsi"/>
          <w:bCs/>
          <w:color w:val="000000" w:themeColor="text1"/>
          <w:lang w:val="en-US"/>
        </w:rPr>
        <w:t xml:space="preserve"> Service</w:t>
      </w:r>
      <w:r w:rsidRPr="005B0AD6">
        <w:rPr>
          <w:rFonts w:ascii="Century Gothic" w:hAnsi="Century Gothic" w:cstheme="minorHAnsi"/>
          <w:bCs/>
          <w:color w:val="000000" w:themeColor="text1"/>
          <w:lang w:val="en-US"/>
        </w:rPr>
        <w:t xml:space="preserve"> in accordance with the SEQOHS </w:t>
      </w:r>
      <w:r w:rsidR="007C425A">
        <w:rPr>
          <w:rFonts w:ascii="Century Gothic" w:hAnsi="Century Gothic" w:cstheme="minorHAnsi"/>
          <w:bCs/>
          <w:color w:val="000000" w:themeColor="text1"/>
          <w:lang w:val="en-US"/>
        </w:rPr>
        <w:t>S</w:t>
      </w:r>
      <w:r w:rsidRPr="005B0AD6">
        <w:rPr>
          <w:rFonts w:ascii="Century Gothic" w:hAnsi="Century Gothic" w:cstheme="minorHAnsi"/>
          <w:bCs/>
          <w:color w:val="000000" w:themeColor="text1"/>
          <w:lang w:val="en-US"/>
        </w:rPr>
        <w:t>tandard</w:t>
      </w:r>
      <w:r w:rsidR="009D0283">
        <w:rPr>
          <w:rFonts w:ascii="Century Gothic" w:hAnsi="Century Gothic" w:cstheme="minorHAnsi"/>
          <w:bCs/>
          <w:color w:val="000000" w:themeColor="text1"/>
          <w:lang w:val="en-US"/>
        </w:rPr>
        <w:t>s</w:t>
      </w:r>
      <w:r w:rsidRPr="005B0AD6">
        <w:rPr>
          <w:rFonts w:ascii="Century Gothic" w:hAnsi="Century Gothic" w:cstheme="minorHAnsi"/>
          <w:bCs/>
          <w:color w:val="000000" w:themeColor="text1"/>
          <w:lang w:val="en-US"/>
        </w:rPr>
        <w:t xml:space="preserve"> and SEQOHS accreditation does not guarantee that the </w:t>
      </w:r>
      <w:r w:rsidR="0048572E">
        <w:rPr>
          <w:rFonts w:ascii="Century Gothic" w:hAnsi="Century Gothic" w:cstheme="minorHAnsi"/>
          <w:bCs/>
          <w:color w:val="000000" w:themeColor="text1"/>
          <w:lang w:val="en-US"/>
        </w:rPr>
        <w:t>Service</w:t>
      </w:r>
      <w:r w:rsidRPr="005B0AD6">
        <w:rPr>
          <w:rFonts w:ascii="Century Gothic" w:hAnsi="Century Gothic" w:cstheme="minorHAnsi"/>
          <w:bCs/>
          <w:color w:val="000000" w:themeColor="text1"/>
          <w:lang w:val="en-US"/>
        </w:rPr>
        <w:t xml:space="preserve"> will comply with its legal obligations to any third party including the proper discharge of any duty of care in providing such services.</w:t>
      </w:r>
    </w:p>
    <w:p w14:paraId="1D07D027" w14:textId="463D0F3C" w:rsidR="00091855" w:rsidRDefault="00A95BCF" w:rsidP="004C535B">
      <w:pPr>
        <w:pStyle w:val="ListParagraph"/>
        <w:numPr>
          <w:ilvl w:val="3"/>
          <w:numId w:val="11"/>
        </w:numPr>
        <w:spacing w:before="120" w:line="288" w:lineRule="auto"/>
        <w:ind w:left="567" w:hanging="567"/>
        <w:jc w:val="both"/>
        <w:rPr>
          <w:rFonts w:ascii="Century Gothic" w:hAnsi="Century Gothic" w:cstheme="minorHAnsi"/>
          <w:bCs/>
          <w:color w:val="000000" w:themeColor="text1"/>
          <w:lang w:val="en-US"/>
        </w:rPr>
      </w:pPr>
      <w:r w:rsidRPr="00A95BCF">
        <w:rPr>
          <w:rFonts w:ascii="Century Gothic" w:hAnsi="Century Gothic" w:cstheme="minorHAnsi"/>
          <w:bCs/>
          <w:color w:val="000000" w:themeColor="text1"/>
          <w:lang w:val="en-US"/>
        </w:rPr>
        <w:t xml:space="preserve">The </w:t>
      </w:r>
      <w:r w:rsidR="0008238D">
        <w:rPr>
          <w:rFonts w:ascii="Century Gothic" w:hAnsi="Century Gothic" w:cstheme="minorHAnsi"/>
          <w:bCs/>
          <w:color w:val="000000" w:themeColor="text1"/>
          <w:lang w:val="en-US"/>
        </w:rPr>
        <w:t>S</w:t>
      </w:r>
      <w:r w:rsidRPr="00A95BCF">
        <w:rPr>
          <w:rFonts w:ascii="Century Gothic" w:hAnsi="Century Gothic" w:cstheme="minorHAnsi"/>
          <w:bCs/>
          <w:color w:val="000000" w:themeColor="text1"/>
          <w:lang w:val="en-US"/>
        </w:rPr>
        <w:t xml:space="preserve">ervice accredited by SEQOHS or working towards SEQOHS accreditation must pay annual </w:t>
      </w:r>
      <w:r w:rsidR="002C490A">
        <w:rPr>
          <w:rFonts w:ascii="Century Gothic" w:hAnsi="Century Gothic" w:cstheme="minorHAnsi"/>
          <w:bCs/>
          <w:color w:val="000000" w:themeColor="text1"/>
          <w:lang w:val="en-US"/>
        </w:rPr>
        <w:t>fee</w:t>
      </w:r>
      <w:r w:rsidRPr="00A95BCF">
        <w:rPr>
          <w:rFonts w:ascii="Century Gothic" w:hAnsi="Century Gothic" w:cstheme="minorHAnsi"/>
          <w:bCs/>
          <w:color w:val="000000" w:themeColor="text1"/>
          <w:lang w:val="en-US"/>
        </w:rPr>
        <w:t xml:space="preserve">s as </w:t>
      </w:r>
      <w:r w:rsidR="00313FD2">
        <w:rPr>
          <w:rFonts w:ascii="Century Gothic" w:hAnsi="Century Gothic" w:cstheme="minorHAnsi"/>
          <w:bCs/>
          <w:color w:val="000000" w:themeColor="text1"/>
          <w:lang w:val="en-US"/>
        </w:rPr>
        <w:t xml:space="preserve">published on the SEQOHS website </w:t>
      </w:r>
      <w:r w:rsidRPr="00A95BCF">
        <w:rPr>
          <w:rFonts w:ascii="Century Gothic" w:hAnsi="Century Gothic" w:cstheme="minorHAnsi"/>
          <w:bCs/>
          <w:color w:val="000000" w:themeColor="text1"/>
          <w:lang w:val="en-US"/>
        </w:rPr>
        <w:t>and acknowledges and accepts that non-payment of annual fee</w:t>
      </w:r>
      <w:r w:rsidR="0033684D">
        <w:rPr>
          <w:rFonts w:ascii="Century Gothic" w:hAnsi="Century Gothic" w:cstheme="minorHAnsi"/>
          <w:bCs/>
          <w:color w:val="000000" w:themeColor="text1"/>
          <w:lang w:val="en-US"/>
        </w:rPr>
        <w:t>s</w:t>
      </w:r>
      <w:r w:rsidRPr="00A95BCF">
        <w:rPr>
          <w:rFonts w:ascii="Century Gothic" w:hAnsi="Century Gothic" w:cstheme="minorHAnsi"/>
          <w:bCs/>
          <w:color w:val="000000" w:themeColor="text1"/>
          <w:lang w:val="en-US"/>
        </w:rPr>
        <w:t xml:space="preserve"> may result in withdrawal of SEQOHS accreditation and/or access to the SEQOHS webtool.</w:t>
      </w:r>
    </w:p>
    <w:p w14:paraId="79AA4BAB" w14:textId="6FE771DB" w:rsidR="00497739" w:rsidRPr="00091855" w:rsidRDefault="00497739" w:rsidP="005C15AC">
      <w:pPr>
        <w:pStyle w:val="Heading1"/>
      </w:pPr>
      <w:r w:rsidRPr="007E41CC">
        <w:t>Law and jurisdiction</w:t>
      </w:r>
    </w:p>
    <w:p w14:paraId="722F7540" w14:textId="4BD3A74F" w:rsidR="00A0473D" w:rsidRDefault="00497739" w:rsidP="004C535B">
      <w:pPr>
        <w:spacing w:before="120" w:line="288" w:lineRule="auto"/>
        <w:jc w:val="both"/>
        <w:rPr>
          <w:rFonts w:ascii="Century Gothic" w:hAnsi="Century Gothic" w:cstheme="minorHAnsi"/>
          <w:bCs/>
          <w:color w:val="000000" w:themeColor="text1"/>
          <w:sz w:val="22"/>
          <w:szCs w:val="22"/>
          <w:lang w:val="en-US"/>
        </w:rPr>
      </w:pPr>
      <w:r w:rsidRPr="005B0AD6">
        <w:rPr>
          <w:rFonts w:ascii="Century Gothic" w:hAnsi="Century Gothic" w:cstheme="minorHAnsi"/>
          <w:bCs/>
          <w:color w:val="000000" w:themeColor="text1"/>
          <w:sz w:val="22"/>
          <w:szCs w:val="22"/>
          <w:lang w:val="en-US"/>
        </w:rPr>
        <w:t xml:space="preserve">This </w:t>
      </w:r>
      <w:r w:rsidR="001C0756">
        <w:rPr>
          <w:rFonts w:ascii="Century Gothic" w:hAnsi="Century Gothic" w:cstheme="minorHAnsi"/>
          <w:bCs/>
          <w:color w:val="000000" w:themeColor="text1"/>
          <w:sz w:val="22"/>
          <w:szCs w:val="22"/>
          <w:lang w:val="en-US"/>
        </w:rPr>
        <w:t>A</w:t>
      </w:r>
      <w:r w:rsidRPr="005B0AD6">
        <w:rPr>
          <w:rFonts w:ascii="Century Gothic" w:hAnsi="Century Gothic" w:cstheme="minorHAnsi"/>
          <w:bCs/>
          <w:color w:val="000000" w:themeColor="text1"/>
          <w:sz w:val="22"/>
          <w:szCs w:val="22"/>
          <w:lang w:val="en-US"/>
        </w:rPr>
        <w:t>greement shall be governed and construed in accordance with English law. The parties hereby submit to the exclusive jurisdiction of the English courts.</w:t>
      </w:r>
    </w:p>
    <w:p w14:paraId="11C64EBB" w14:textId="2AEF7402" w:rsidR="0044627F" w:rsidRDefault="0044627F" w:rsidP="004C535B">
      <w:pPr>
        <w:spacing w:before="120" w:line="288" w:lineRule="auto"/>
        <w:jc w:val="both"/>
        <w:rPr>
          <w:rFonts w:ascii="Century Gothic" w:hAnsi="Century Gothic" w:cstheme="minorHAnsi"/>
          <w:bCs/>
          <w:color w:val="000000" w:themeColor="text1"/>
          <w:sz w:val="22"/>
          <w:szCs w:val="22"/>
          <w:lang w:val="en-US"/>
        </w:rPr>
      </w:pPr>
    </w:p>
    <w:tbl>
      <w:tblPr>
        <w:tblStyle w:val="TableGrid"/>
        <w:tblW w:w="0" w:type="auto"/>
        <w:tblLook w:val="04A0" w:firstRow="1" w:lastRow="0" w:firstColumn="1" w:lastColumn="0" w:noHBand="0" w:noVBand="1"/>
      </w:tblPr>
      <w:tblGrid>
        <w:gridCol w:w="1838"/>
        <w:gridCol w:w="3969"/>
        <w:gridCol w:w="1225"/>
        <w:gridCol w:w="2598"/>
      </w:tblGrid>
      <w:tr w:rsidR="0044627F" w14:paraId="2DF45CDC" w14:textId="77777777" w:rsidTr="0044627F">
        <w:tc>
          <w:tcPr>
            <w:tcW w:w="1838" w:type="dxa"/>
            <w:tcBorders>
              <w:top w:val="single" w:sz="4" w:space="0" w:color="auto"/>
              <w:left w:val="single" w:sz="4" w:space="0" w:color="auto"/>
              <w:bottom w:val="single" w:sz="4" w:space="0" w:color="auto"/>
              <w:right w:val="single" w:sz="4" w:space="0" w:color="auto"/>
            </w:tcBorders>
            <w:hideMark/>
          </w:tcPr>
          <w:p w14:paraId="026EC249" w14:textId="77777777" w:rsidR="0044627F" w:rsidRDefault="0044627F">
            <w:pPr>
              <w:pStyle w:val="ListParagraph"/>
              <w:ind w:left="0"/>
              <w:rPr>
                <w:lang w:val="en-US"/>
              </w:rPr>
            </w:pPr>
            <w:r>
              <w:rPr>
                <w:lang w:val="en-US"/>
              </w:rPr>
              <w:t>Signature</w:t>
            </w:r>
          </w:p>
          <w:p w14:paraId="6E20287C" w14:textId="77777777" w:rsidR="0044627F" w:rsidRDefault="0044627F">
            <w:pPr>
              <w:pStyle w:val="ListParagraph"/>
              <w:ind w:left="0"/>
              <w:rPr>
                <w:lang w:val="en-US"/>
              </w:rPr>
            </w:pPr>
            <w:r>
              <w:rPr>
                <w:lang w:val="en-US"/>
              </w:rPr>
              <w:t>(Digital acceptable)</w:t>
            </w:r>
          </w:p>
        </w:tc>
        <w:tc>
          <w:tcPr>
            <w:tcW w:w="7792" w:type="dxa"/>
            <w:gridSpan w:val="3"/>
            <w:tcBorders>
              <w:top w:val="single" w:sz="4" w:space="0" w:color="auto"/>
              <w:left w:val="single" w:sz="4" w:space="0" w:color="auto"/>
              <w:bottom w:val="single" w:sz="4" w:space="0" w:color="auto"/>
              <w:right w:val="single" w:sz="4" w:space="0" w:color="auto"/>
            </w:tcBorders>
            <w:hideMark/>
          </w:tcPr>
          <w:p w14:paraId="62BDFF34" w14:textId="332B25C5" w:rsidR="0044627F" w:rsidRDefault="0044627F">
            <w:pPr>
              <w:rPr>
                <w:lang w:val="en-US"/>
              </w:rPr>
            </w:pPr>
          </w:p>
        </w:tc>
      </w:tr>
      <w:tr w:rsidR="0044627F" w14:paraId="49EF64BE" w14:textId="77777777" w:rsidTr="0044627F">
        <w:tc>
          <w:tcPr>
            <w:tcW w:w="1838" w:type="dxa"/>
            <w:tcBorders>
              <w:top w:val="single" w:sz="4" w:space="0" w:color="auto"/>
              <w:left w:val="single" w:sz="4" w:space="0" w:color="auto"/>
              <w:bottom w:val="single" w:sz="4" w:space="0" w:color="auto"/>
              <w:right w:val="single" w:sz="4" w:space="0" w:color="auto"/>
            </w:tcBorders>
            <w:hideMark/>
          </w:tcPr>
          <w:p w14:paraId="129B3E23" w14:textId="77777777" w:rsidR="0044627F" w:rsidRDefault="0044627F">
            <w:pPr>
              <w:pStyle w:val="ListParagraph"/>
              <w:ind w:left="0"/>
              <w:rPr>
                <w:lang w:val="en-US"/>
              </w:rPr>
            </w:pPr>
            <w:r>
              <w:rPr>
                <w:lang w:val="en-US"/>
              </w:rPr>
              <w:t>Name</w:t>
            </w:r>
          </w:p>
        </w:tc>
        <w:tc>
          <w:tcPr>
            <w:tcW w:w="3969" w:type="dxa"/>
            <w:tcBorders>
              <w:top w:val="single" w:sz="4" w:space="0" w:color="auto"/>
              <w:left w:val="single" w:sz="4" w:space="0" w:color="auto"/>
              <w:bottom w:val="single" w:sz="4" w:space="0" w:color="auto"/>
              <w:right w:val="single" w:sz="4" w:space="0" w:color="auto"/>
            </w:tcBorders>
            <w:hideMark/>
          </w:tcPr>
          <w:p w14:paraId="68AB92DD" w14:textId="165AF2FF" w:rsidR="0044627F" w:rsidRDefault="0044627F">
            <w:pPr>
              <w:rPr>
                <w:lang w:val="en-US"/>
              </w:rPr>
            </w:pPr>
          </w:p>
        </w:tc>
        <w:tc>
          <w:tcPr>
            <w:tcW w:w="1225" w:type="dxa"/>
            <w:tcBorders>
              <w:top w:val="single" w:sz="4" w:space="0" w:color="auto"/>
              <w:left w:val="single" w:sz="4" w:space="0" w:color="auto"/>
              <w:bottom w:val="single" w:sz="4" w:space="0" w:color="auto"/>
              <w:right w:val="single" w:sz="4" w:space="0" w:color="auto"/>
            </w:tcBorders>
            <w:hideMark/>
          </w:tcPr>
          <w:p w14:paraId="192E136F" w14:textId="77777777" w:rsidR="0044627F" w:rsidRDefault="0044627F">
            <w:pPr>
              <w:pStyle w:val="ListParagraph"/>
              <w:ind w:left="0"/>
              <w:rPr>
                <w:lang w:val="en-US"/>
              </w:rPr>
            </w:pPr>
            <w:r>
              <w:rPr>
                <w:lang w:val="en-US"/>
              </w:rPr>
              <w:t>Date</w:t>
            </w:r>
          </w:p>
        </w:tc>
        <w:tc>
          <w:tcPr>
            <w:tcW w:w="2598" w:type="dxa"/>
            <w:tcBorders>
              <w:top w:val="single" w:sz="4" w:space="0" w:color="auto"/>
              <w:left w:val="single" w:sz="4" w:space="0" w:color="auto"/>
              <w:bottom w:val="single" w:sz="4" w:space="0" w:color="auto"/>
              <w:right w:val="single" w:sz="4" w:space="0" w:color="auto"/>
            </w:tcBorders>
            <w:hideMark/>
          </w:tcPr>
          <w:p w14:paraId="17AC596D" w14:textId="42C2E5A0" w:rsidR="0044627F" w:rsidRDefault="0044627F">
            <w:pPr>
              <w:pStyle w:val="ListParagraph"/>
              <w:rPr>
                <w:rFonts w:ascii="Century Gothic" w:hAnsi="Century Gothic"/>
                <w:lang w:val="en-US"/>
              </w:rPr>
            </w:pPr>
          </w:p>
        </w:tc>
      </w:tr>
      <w:tr w:rsidR="0044627F" w14:paraId="5C89CC2A" w14:textId="77777777" w:rsidTr="0044627F">
        <w:tc>
          <w:tcPr>
            <w:tcW w:w="1838" w:type="dxa"/>
            <w:tcBorders>
              <w:top w:val="single" w:sz="4" w:space="0" w:color="auto"/>
              <w:left w:val="single" w:sz="4" w:space="0" w:color="auto"/>
              <w:bottom w:val="single" w:sz="4" w:space="0" w:color="auto"/>
              <w:right w:val="single" w:sz="4" w:space="0" w:color="auto"/>
            </w:tcBorders>
            <w:hideMark/>
          </w:tcPr>
          <w:p w14:paraId="7FF8A510" w14:textId="77777777" w:rsidR="0044627F" w:rsidRDefault="0044627F">
            <w:pPr>
              <w:pStyle w:val="ListParagraph"/>
              <w:ind w:left="0"/>
              <w:rPr>
                <w:lang w:val="en-US"/>
              </w:rPr>
            </w:pPr>
            <w:r>
              <w:rPr>
                <w:lang w:val="en-US"/>
              </w:rPr>
              <w:t>Position</w:t>
            </w:r>
          </w:p>
        </w:tc>
        <w:tc>
          <w:tcPr>
            <w:tcW w:w="7792" w:type="dxa"/>
            <w:gridSpan w:val="3"/>
            <w:tcBorders>
              <w:top w:val="single" w:sz="4" w:space="0" w:color="auto"/>
              <w:left w:val="single" w:sz="4" w:space="0" w:color="auto"/>
              <w:bottom w:val="single" w:sz="4" w:space="0" w:color="auto"/>
              <w:right w:val="single" w:sz="4" w:space="0" w:color="auto"/>
            </w:tcBorders>
            <w:hideMark/>
          </w:tcPr>
          <w:p w14:paraId="00E14111" w14:textId="57D1E9CC" w:rsidR="0044627F" w:rsidRPr="0044627F" w:rsidRDefault="0044627F" w:rsidP="0044627F">
            <w:pPr>
              <w:rPr>
                <w:rFonts w:ascii="Century Gothic" w:hAnsi="Century Gothic"/>
                <w:lang w:val="en-US"/>
              </w:rPr>
            </w:pPr>
          </w:p>
        </w:tc>
      </w:tr>
    </w:tbl>
    <w:p w14:paraId="3F422E8B" w14:textId="77777777" w:rsidR="0044627F" w:rsidRPr="005B0AD6" w:rsidRDefault="0044627F" w:rsidP="004C535B">
      <w:pPr>
        <w:spacing w:before="120" w:line="288" w:lineRule="auto"/>
        <w:jc w:val="both"/>
        <w:rPr>
          <w:rFonts w:ascii="Century Gothic" w:hAnsi="Century Gothic" w:cstheme="minorHAnsi"/>
          <w:bCs/>
          <w:color w:val="000000" w:themeColor="text1"/>
          <w:sz w:val="22"/>
          <w:szCs w:val="22"/>
          <w:lang w:val="en-US"/>
        </w:rPr>
      </w:pPr>
      <w:bookmarkStart w:id="1" w:name="_GoBack"/>
      <w:bookmarkEnd w:id="1"/>
    </w:p>
    <w:bookmarkEnd w:id="0"/>
    <w:sectPr w:rsidR="0044627F" w:rsidRPr="005B0AD6" w:rsidSect="00DD691A">
      <w:footerReference w:type="default" r:id="rId12"/>
      <w:headerReference w:type="first" r:id="rId13"/>
      <w:footerReference w:type="first" r:id="rId14"/>
      <w:pgSz w:w="11906" w:h="16838"/>
      <w:pgMar w:top="1084" w:right="979" w:bottom="1401" w:left="1287" w:header="720"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AE804" w14:textId="77777777" w:rsidR="003D7B79" w:rsidRDefault="003D7B79" w:rsidP="00A00944">
      <w:r>
        <w:separator/>
      </w:r>
    </w:p>
  </w:endnote>
  <w:endnote w:type="continuationSeparator" w:id="0">
    <w:p w14:paraId="5D3B6FF3" w14:textId="77777777" w:rsidR="003D7B79" w:rsidRDefault="003D7B79" w:rsidP="00A0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118"/>
      <w:gridCol w:w="2727"/>
    </w:tblGrid>
    <w:tr w:rsidR="007E41CC" w:rsidRPr="00787359" w14:paraId="3B94CFC2" w14:textId="77777777" w:rsidTr="001B0B6E">
      <w:tc>
        <w:tcPr>
          <w:tcW w:w="3936" w:type="dxa"/>
        </w:tcPr>
        <w:p w14:paraId="148F045C" w14:textId="6B0B5893" w:rsidR="007E41CC" w:rsidRPr="00787359" w:rsidRDefault="007E41CC" w:rsidP="007E41CC">
          <w:pPr>
            <w:pStyle w:val="Footer"/>
            <w:rPr>
              <w:rFonts w:ascii="Verdana" w:hAnsi="Verdana" w:cs="Arial"/>
              <w:color w:val="262626" w:themeColor="text1" w:themeTint="D9"/>
              <w:sz w:val="16"/>
              <w:szCs w:val="17"/>
            </w:rPr>
          </w:pPr>
          <w:r w:rsidRPr="00787359">
            <w:rPr>
              <w:rFonts w:ascii="Verdana" w:hAnsi="Verdana" w:cs="Arial"/>
              <w:color w:val="262626" w:themeColor="text1" w:themeTint="D9"/>
              <w:sz w:val="16"/>
              <w:szCs w:val="17"/>
            </w:rPr>
            <w:t xml:space="preserve">SEQOHS </w:t>
          </w:r>
          <w:r w:rsidR="00EF5050">
            <w:rPr>
              <w:rFonts w:ascii="Verdana" w:hAnsi="Verdana" w:cs="Arial"/>
              <w:color w:val="262626" w:themeColor="text1" w:themeTint="D9"/>
              <w:sz w:val="16"/>
              <w:szCs w:val="17"/>
            </w:rPr>
            <w:t>Terms and Conditions</w:t>
          </w:r>
          <w:r w:rsidR="00830AE1">
            <w:rPr>
              <w:rFonts w:ascii="Verdana" w:hAnsi="Verdana" w:cs="Arial"/>
              <w:color w:val="262626" w:themeColor="text1" w:themeTint="D9"/>
              <w:sz w:val="16"/>
              <w:szCs w:val="17"/>
            </w:rPr>
            <w:t xml:space="preserve"> </w:t>
          </w:r>
          <w:r w:rsidR="005319A3">
            <w:rPr>
              <w:rFonts w:ascii="Verdana" w:hAnsi="Verdana" w:cs="Arial"/>
              <w:color w:val="262626" w:themeColor="text1" w:themeTint="D9"/>
              <w:sz w:val="16"/>
              <w:szCs w:val="17"/>
            </w:rPr>
            <w:t>v1.2</w:t>
          </w:r>
        </w:p>
      </w:tc>
      <w:tc>
        <w:tcPr>
          <w:tcW w:w="3118" w:type="dxa"/>
        </w:tcPr>
        <w:p w14:paraId="4DA6EF53" w14:textId="3AAB1D16" w:rsidR="007E41CC" w:rsidRPr="00787359" w:rsidRDefault="007E41CC" w:rsidP="007E41CC">
          <w:pPr>
            <w:pStyle w:val="Footer"/>
            <w:jc w:val="center"/>
            <w:rPr>
              <w:rFonts w:ascii="Verdana" w:hAnsi="Verdana" w:cs="Arial"/>
              <w:color w:val="262626" w:themeColor="text1" w:themeTint="D9"/>
              <w:sz w:val="16"/>
              <w:szCs w:val="17"/>
            </w:rPr>
          </w:pPr>
        </w:p>
      </w:tc>
      <w:tc>
        <w:tcPr>
          <w:tcW w:w="2727" w:type="dxa"/>
        </w:tcPr>
        <w:p w14:paraId="18381BF2" w14:textId="77777777" w:rsidR="007E41CC" w:rsidRPr="00787359" w:rsidRDefault="007E41CC" w:rsidP="007E41CC">
          <w:pPr>
            <w:pStyle w:val="Footer"/>
            <w:jc w:val="right"/>
            <w:rPr>
              <w:rFonts w:ascii="Verdana" w:hAnsi="Verdana" w:cs="Arial"/>
              <w:color w:val="262626" w:themeColor="text1" w:themeTint="D9"/>
              <w:sz w:val="16"/>
              <w:szCs w:val="17"/>
            </w:rPr>
          </w:pPr>
          <w:r w:rsidRPr="00787359">
            <w:rPr>
              <w:rFonts w:ascii="Verdana" w:hAnsi="Verdana" w:cs="Arial"/>
              <w:color w:val="262626" w:themeColor="text1" w:themeTint="D9"/>
              <w:sz w:val="16"/>
              <w:szCs w:val="17"/>
            </w:rPr>
            <w:t xml:space="preserve">Page </w:t>
          </w:r>
          <w:r w:rsidRPr="00787359">
            <w:rPr>
              <w:rFonts w:ascii="Verdana" w:hAnsi="Verdana" w:cs="Arial"/>
              <w:color w:val="262626" w:themeColor="text1" w:themeTint="D9"/>
              <w:sz w:val="16"/>
              <w:szCs w:val="17"/>
            </w:rPr>
            <w:fldChar w:fldCharType="begin"/>
          </w:r>
          <w:r w:rsidRPr="00787359">
            <w:rPr>
              <w:rFonts w:ascii="Verdana" w:hAnsi="Verdana" w:cs="Arial"/>
              <w:color w:val="262626" w:themeColor="text1" w:themeTint="D9"/>
              <w:sz w:val="16"/>
              <w:szCs w:val="17"/>
            </w:rPr>
            <w:instrText xml:space="preserve"> PAGE </w:instrText>
          </w:r>
          <w:r w:rsidRPr="00787359">
            <w:rPr>
              <w:rFonts w:ascii="Verdana" w:hAnsi="Verdana" w:cs="Arial"/>
              <w:color w:val="262626" w:themeColor="text1" w:themeTint="D9"/>
              <w:sz w:val="16"/>
              <w:szCs w:val="17"/>
            </w:rPr>
            <w:fldChar w:fldCharType="separate"/>
          </w:r>
          <w:r w:rsidR="005C15AC">
            <w:rPr>
              <w:rFonts w:ascii="Verdana" w:hAnsi="Verdana" w:cs="Arial"/>
              <w:noProof/>
              <w:color w:val="262626" w:themeColor="text1" w:themeTint="D9"/>
              <w:sz w:val="16"/>
              <w:szCs w:val="17"/>
            </w:rPr>
            <w:t>2</w:t>
          </w:r>
          <w:r w:rsidRPr="00787359">
            <w:rPr>
              <w:rFonts w:ascii="Verdana" w:hAnsi="Verdana" w:cs="Arial"/>
              <w:color w:val="262626" w:themeColor="text1" w:themeTint="D9"/>
              <w:sz w:val="16"/>
              <w:szCs w:val="17"/>
            </w:rPr>
            <w:fldChar w:fldCharType="end"/>
          </w:r>
          <w:r w:rsidRPr="00787359">
            <w:rPr>
              <w:rFonts w:ascii="Verdana" w:hAnsi="Verdana" w:cs="Arial"/>
              <w:color w:val="262626" w:themeColor="text1" w:themeTint="D9"/>
              <w:sz w:val="16"/>
              <w:szCs w:val="17"/>
            </w:rPr>
            <w:t xml:space="preserve"> of </w:t>
          </w:r>
          <w:r w:rsidRPr="00787359">
            <w:rPr>
              <w:rFonts w:ascii="Verdana" w:hAnsi="Verdana" w:cs="Arial"/>
              <w:color w:val="262626" w:themeColor="text1" w:themeTint="D9"/>
              <w:sz w:val="16"/>
              <w:szCs w:val="17"/>
            </w:rPr>
            <w:fldChar w:fldCharType="begin"/>
          </w:r>
          <w:r w:rsidRPr="00787359">
            <w:rPr>
              <w:rFonts w:ascii="Verdana" w:hAnsi="Verdana" w:cs="Arial"/>
              <w:color w:val="262626" w:themeColor="text1" w:themeTint="D9"/>
              <w:sz w:val="16"/>
              <w:szCs w:val="17"/>
            </w:rPr>
            <w:instrText xml:space="preserve"> NUMPAGES </w:instrText>
          </w:r>
          <w:r w:rsidRPr="00787359">
            <w:rPr>
              <w:rFonts w:ascii="Verdana" w:hAnsi="Verdana" w:cs="Arial"/>
              <w:color w:val="262626" w:themeColor="text1" w:themeTint="D9"/>
              <w:sz w:val="16"/>
              <w:szCs w:val="17"/>
            </w:rPr>
            <w:fldChar w:fldCharType="separate"/>
          </w:r>
          <w:r w:rsidR="005C15AC">
            <w:rPr>
              <w:rFonts w:ascii="Verdana" w:hAnsi="Verdana" w:cs="Arial"/>
              <w:noProof/>
              <w:color w:val="262626" w:themeColor="text1" w:themeTint="D9"/>
              <w:sz w:val="16"/>
              <w:szCs w:val="17"/>
            </w:rPr>
            <w:t>7</w:t>
          </w:r>
          <w:r w:rsidRPr="00787359">
            <w:rPr>
              <w:rFonts w:ascii="Verdana" w:hAnsi="Verdana" w:cs="Arial"/>
              <w:color w:val="262626" w:themeColor="text1" w:themeTint="D9"/>
              <w:sz w:val="16"/>
              <w:szCs w:val="17"/>
            </w:rPr>
            <w:fldChar w:fldCharType="end"/>
          </w:r>
        </w:p>
      </w:tc>
    </w:tr>
    <w:tr w:rsidR="007E41CC" w:rsidRPr="00787359" w14:paraId="0BC264E7" w14:textId="77777777" w:rsidTr="001B0B6E">
      <w:tc>
        <w:tcPr>
          <w:tcW w:w="9781" w:type="dxa"/>
          <w:gridSpan w:val="3"/>
        </w:tcPr>
        <w:sdt>
          <w:sdtPr>
            <w:rPr>
              <w:rFonts w:ascii="Verdana" w:hAnsi="Verdana"/>
              <w:color w:val="262626" w:themeColor="text1" w:themeTint="D9"/>
              <w:sz w:val="16"/>
              <w:szCs w:val="17"/>
            </w:rPr>
            <w:id w:val="-646983318"/>
            <w:docPartObj>
              <w:docPartGallery w:val="Page Numbers (Bottom of Page)"/>
              <w:docPartUnique/>
            </w:docPartObj>
          </w:sdtPr>
          <w:sdtEndPr/>
          <w:sdtContent>
            <w:p w14:paraId="56F30BD5" w14:textId="77777777" w:rsidR="007E41CC" w:rsidRPr="00787359" w:rsidRDefault="007E41CC" w:rsidP="007E41CC">
              <w:pPr>
                <w:pStyle w:val="NormalWeb"/>
                <w:spacing w:before="0" w:beforeAutospacing="0" w:after="0" w:afterAutospacing="0" w:line="270" w:lineRule="atLeast"/>
                <w:textAlignment w:val="baseline"/>
                <w:rPr>
                  <w:rFonts w:ascii="Verdana" w:hAnsi="Verdana"/>
                  <w:color w:val="262626" w:themeColor="text1" w:themeTint="D9"/>
                  <w:sz w:val="16"/>
                  <w:szCs w:val="17"/>
                </w:rPr>
              </w:pPr>
              <w:r w:rsidRPr="00787359">
                <w:rPr>
                  <w:rFonts w:ascii="Verdana" w:hAnsi="Verdana"/>
                  <w:color w:val="262626" w:themeColor="text1" w:themeTint="D9"/>
                  <w:sz w:val="16"/>
                  <w:szCs w:val="17"/>
                </w:rPr>
                <w:t xml:space="preserve">FOM 2 Lovibond Lane, London. SE10 9FY </w:t>
              </w:r>
            </w:p>
            <w:p w14:paraId="4519D9B9" w14:textId="77777777" w:rsidR="007E41CC" w:rsidRPr="00787359" w:rsidRDefault="007E41CC" w:rsidP="007E41CC">
              <w:pPr>
                <w:pStyle w:val="NormalWeb"/>
                <w:spacing w:before="0" w:beforeAutospacing="0" w:after="0" w:afterAutospacing="0" w:line="270" w:lineRule="atLeast"/>
                <w:textAlignment w:val="baseline"/>
                <w:rPr>
                  <w:rFonts w:ascii="Verdana" w:hAnsi="Verdana"/>
                  <w:color w:val="262626" w:themeColor="text1" w:themeTint="D9"/>
                  <w:sz w:val="16"/>
                  <w:szCs w:val="17"/>
                </w:rPr>
              </w:pPr>
              <w:r w:rsidRPr="00787359">
                <w:rPr>
                  <w:rFonts w:ascii="Verdana" w:hAnsi="Verdana"/>
                  <w:color w:val="262626" w:themeColor="text1" w:themeTint="D9"/>
                  <w:sz w:val="16"/>
                  <w:szCs w:val="17"/>
                </w:rPr>
                <w:t>Charity Commission No: 1139516   Scottish Charity No: SCO40060   Registered in England No: 07461063 </w:t>
              </w:r>
            </w:p>
          </w:sdtContent>
        </w:sdt>
      </w:tc>
    </w:tr>
  </w:tbl>
  <w:p w14:paraId="3BBC7768" w14:textId="77777777" w:rsidR="00767111" w:rsidRPr="00497739" w:rsidRDefault="00767111" w:rsidP="00497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302"/>
      <w:gridCol w:w="3118"/>
    </w:tblGrid>
    <w:tr w:rsidR="00DD6155" w:rsidRPr="00787359" w14:paraId="626142BC" w14:textId="77777777" w:rsidTr="00DD6155">
      <w:tc>
        <w:tcPr>
          <w:tcW w:w="3936" w:type="dxa"/>
        </w:tcPr>
        <w:p w14:paraId="3042BC88" w14:textId="77777777" w:rsidR="00737BCF" w:rsidRPr="00787359" w:rsidRDefault="00737BCF" w:rsidP="00737BCF">
          <w:pPr>
            <w:pStyle w:val="Footer"/>
            <w:rPr>
              <w:rFonts w:ascii="Verdana" w:hAnsi="Verdana" w:cs="Arial"/>
              <w:color w:val="262626" w:themeColor="text1" w:themeTint="D9"/>
              <w:sz w:val="16"/>
              <w:szCs w:val="17"/>
            </w:rPr>
          </w:pPr>
          <w:r w:rsidRPr="00787359">
            <w:rPr>
              <w:rFonts w:ascii="Verdana" w:hAnsi="Verdana" w:cs="Arial"/>
              <w:color w:val="262626" w:themeColor="text1" w:themeTint="D9"/>
              <w:sz w:val="16"/>
              <w:szCs w:val="17"/>
            </w:rPr>
            <w:t xml:space="preserve">Ref: SEQOHS </w:t>
          </w:r>
          <w:r>
            <w:rPr>
              <w:rFonts w:ascii="Verdana" w:hAnsi="Verdana" w:cs="Arial"/>
              <w:color w:val="262626" w:themeColor="text1" w:themeTint="D9"/>
              <w:sz w:val="16"/>
              <w:szCs w:val="17"/>
            </w:rPr>
            <w:t xml:space="preserve">904 </w:t>
          </w:r>
          <w:r w:rsidRPr="00787359">
            <w:rPr>
              <w:rFonts w:ascii="Verdana" w:hAnsi="Verdana" w:cs="Arial"/>
              <w:color w:val="262626" w:themeColor="text1" w:themeTint="D9"/>
              <w:sz w:val="16"/>
              <w:szCs w:val="17"/>
            </w:rPr>
            <w:t xml:space="preserve">Version </w:t>
          </w:r>
          <w:r>
            <w:rPr>
              <w:rFonts w:ascii="Verdana" w:hAnsi="Verdana" w:cs="Arial"/>
              <w:color w:val="262626" w:themeColor="text1" w:themeTint="D9"/>
              <w:sz w:val="16"/>
              <w:szCs w:val="17"/>
            </w:rPr>
            <w:t>1.1</w:t>
          </w:r>
        </w:p>
      </w:tc>
      <w:tc>
        <w:tcPr>
          <w:tcW w:w="2302" w:type="dxa"/>
        </w:tcPr>
        <w:p w14:paraId="0B47726B" w14:textId="62A60BB6" w:rsidR="00737BCF" w:rsidRPr="00787359" w:rsidRDefault="00737BCF" w:rsidP="00737BCF">
          <w:pPr>
            <w:pStyle w:val="Footer"/>
            <w:jc w:val="center"/>
            <w:rPr>
              <w:rFonts w:ascii="Verdana" w:hAnsi="Verdana" w:cs="Arial"/>
              <w:color w:val="262626" w:themeColor="text1" w:themeTint="D9"/>
              <w:sz w:val="16"/>
              <w:szCs w:val="17"/>
            </w:rPr>
          </w:pPr>
        </w:p>
      </w:tc>
      <w:tc>
        <w:tcPr>
          <w:tcW w:w="3118" w:type="dxa"/>
        </w:tcPr>
        <w:p w14:paraId="4EFD3183" w14:textId="77777777" w:rsidR="00737BCF" w:rsidRPr="00787359" w:rsidRDefault="00737BCF" w:rsidP="00737BCF">
          <w:pPr>
            <w:pStyle w:val="Footer"/>
            <w:jc w:val="right"/>
            <w:rPr>
              <w:rFonts w:ascii="Verdana" w:hAnsi="Verdana" w:cs="Arial"/>
              <w:color w:val="262626" w:themeColor="text1" w:themeTint="D9"/>
              <w:sz w:val="16"/>
              <w:szCs w:val="17"/>
            </w:rPr>
          </w:pPr>
          <w:r w:rsidRPr="00787359">
            <w:rPr>
              <w:rFonts w:ascii="Verdana" w:hAnsi="Verdana" w:cs="Arial"/>
              <w:color w:val="262626" w:themeColor="text1" w:themeTint="D9"/>
              <w:sz w:val="16"/>
              <w:szCs w:val="17"/>
            </w:rPr>
            <w:t xml:space="preserve">Page </w:t>
          </w:r>
          <w:r w:rsidRPr="00787359">
            <w:rPr>
              <w:rFonts w:ascii="Verdana" w:hAnsi="Verdana" w:cs="Arial"/>
              <w:color w:val="262626" w:themeColor="text1" w:themeTint="D9"/>
              <w:sz w:val="16"/>
              <w:szCs w:val="17"/>
            </w:rPr>
            <w:fldChar w:fldCharType="begin"/>
          </w:r>
          <w:r w:rsidRPr="00787359">
            <w:rPr>
              <w:rFonts w:ascii="Verdana" w:hAnsi="Verdana" w:cs="Arial"/>
              <w:color w:val="262626" w:themeColor="text1" w:themeTint="D9"/>
              <w:sz w:val="16"/>
              <w:szCs w:val="17"/>
            </w:rPr>
            <w:instrText xml:space="preserve"> PAGE </w:instrText>
          </w:r>
          <w:r w:rsidRPr="00787359">
            <w:rPr>
              <w:rFonts w:ascii="Verdana" w:hAnsi="Verdana" w:cs="Arial"/>
              <w:color w:val="262626" w:themeColor="text1" w:themeTint="D9"/>
              <w:sz w:val="16"/>
              <w:szCs w:val="17"/>
            </w:rPr>
            <w:fldChar w:fldCharType="separate"/>
          </w:r>
          <w:r w:rsidR="005C15AC">
            <w:rPr>
              <w:rFonts w:ascii="Verdana" w:hAnsi="Verdana" w:cs="Arial"/>
              <w:noProof/>
              <w:color w:val="262626" w:themeColor="text1" w:themeTint="D9"/>
              <w:sz w:val="16"/>
              <w:szCs w:val="17"/>
            </w:rPr>
            <w:t>1</w:t>
          </w:r>
          <w:r w:rsidRPr="00787359">
            <w:rPr>
              <w:rFonts w:ascii="Verdana" w:hAnsi="Verdana" w:cs="Arial"/>
              <w:color w:val="262626" w:themeColor="text1" w:themeTint="D9"/>
              <w:sz w:val="16"/>
              <w:szCs w:val="17"/>
            </w:rPr>
            <w:fldChar w:fldCharType="end"/>
          </w:r>
          <w:r w:rsidRPr="00787359">
            <w:rPr>
              <w:rFonts w:ascii="Verdana" w:hAnsi="Verdana" w:cs="Arial"/>
              <w:color w:val="262626" w:themeColor="text1" w:themeTint="D9"/>
              <w:sz w:val="16"/>
              <w:szCs w:val="17"/>
            </w:rPr>
            <w:t xml:space="preserve"> of </w:t>
          </w:r>
          <w:r w:rsidRPr="00787359">
            <w:rPr>
              <w:rFonts w:ascii="Verdana" w:hAnsi="Verdana" w:cs="Arial"/>
              <w:color w:val="262626" w:themeColor="text1" w:themeTint="D9"/>
              <w:sz w:val="16"/>
              <w:szCs w:val="17"/>
            </w:rPr>
            <w:fldChar w:fldCharType="begin"/>
          </w:r>
          <w:r w:rsidRPr="00787359">
            <w:rPr>
              <w:rFonts w:ascii="Verdana" w:hAnsi="Verdana" w:cs="Arial"/>
              <w:color w:val="262626" w:themeColor="text1" w:themeTint="D9"/>
              <w:sz w:val="16"/>
              <w:szCs w:val="17"/>
            </w:rPr>
            <w:instrText xml:space="preserve"> NUMPAGES </w:instrText>
          </w:r>
          <w:r w:rsidRPr="00787359">
            <w:rPr>
              <w:rFonts w:ascii="Verdana" w:hAnsi="Verdana" w:cs="Arial"/>
              <w:color w:val="262626" w:themeColor="text1" w:themeTint="D9"/>
              <w:sz w:val="16"/>
              <w:szCs w:val="17"/>
            </w:rPr>
            <w:fldChar w:fldCharType="separate"/>
          </w:r>
          <w:r w:rsidR="005C15AC">
            <w:rPr>
              <w:rFonts w:ascii="Verdana" w:hAnsi="Verdana" w:cs="Arial"/>
              <w:noProof/>
              <w:color w:val="262626" w:themeColor="text1" w:themeTint="D9"/>
              <w:sz w:val="16"/>
              <w:szCs w:val="17"/>
            </w:rPr>
            <w:t>7</w:t>
          </w:r>
          <w:r w:rsidRPr="00787359">
            <w:rPr>
              <w:rFonts w:ascii="Verdana" w:hAnsi="Verdana" w:cs="Arial"/>
              <w:color w:val="262626" w:themeColor="text1" w:themeTint="D9"/>
              <w:sz w:val="16"/>
              <w:szCs w:val="17"/>
            </w:rPr>
            <w:fldChar w:fldCharType="end"/>
          </w:r>
        </w:p>
      </w:tc>
    </w:tr>
    <w:tr w:rsidR="00DD6155" w:rsidRPr="00787359" w14:paraId="22ABC657" w14:textId="77777777" w:rsidTr="00DD6155">
      <w:tc>
        <w:tcPr>
          <w:tcW w:w="9356" w:type="dxa"/>
          <w:gridSpan w:val="3"/>
        </w:tcPr>
        <w:sdt>
          <w:sdtPr>
            <w:rPr>
              <w:rFonts w:ascii="Verdana" w:hAnsi="Verdana"/>
              <w:color w:val="262626" w:themeColor="text1" w:themeTint="D9"/>
              <w:sz w:val="16"/>
              <w:szCs w:val="17"/>
            </w:rPr>
            <w:id w:val="789631854"/>
            <w:docPartObj>
              <w:docPartGallery w:val="Page Numbers (Bottom of Page)"/>
              <w:docPartUnique/>
            </w:docPartObj>
          </w:sdtPr>
          <w:sdtEndPr/>
          <w:sdtContent>
            <w:p w14:paraId="4849FF76" w14:textId="77777777" w:rsidR="00737BCF" w:rsidRPr="00787359" w:rsidRDefault="00737BCF" w:rsidP="00737BCF">
              <w:pPr>
                <w:pStyle w:val="NormalWeb"/>
                <w:spacing w:before="0" w:beforeAutospacing="0" w:after="0" w:afterAutospacing="0" w:line="270" w:lineRule="atLeast"/>
                <w:textAlignment w:val="baseline"/>
                <w:rPr>
                  <w:rFonts w:ascii="Verdana" w:hAnsi="Verdana"/>
                  <w:color w:val="262626" w:themeColor="text1" w:themeTint="D9"/>
                  <w:sz w:val="16"/>
                  <w:szCs w:val="17"/>
                </w:rPr>
              </w:pPr>
              <w:r w:rsidRPr="00787359">
                <w:rPr>
                  <w:rFonts w:ascii="Verdana" w:hAnsi="Verdana"/>
                  <w:color w:val="262626" w:themeColor="text1" w:themeTint="D9"/>
                  <w:sz w:val="16"/>
                  <w:szCs w:val="17"/>
                </w:rPr>
                <w:t xml:space="preserve">FOM 2 Lovibond Lane, London. SE10 9FY </w:t>
              </w:r>
            </w:p>
            <w:p w14:paraId="59DA318D" w14:textId="77777777" w:rsidR="00737BCF" w:rsidRPr="00787359" w:rsidRDefault="00737BCF" w:rsidP="00737BCF">
              <w:pPr>
                <w:pStyle w:val="NormalWeb"/>
                <w:spacing w:before="0" w:beforeAutospacing="0" w:after="0" w:afterAutospacing="0" w:line="270" w:lineRule="atLeast"/>
                <w:textAlignment w:val="baseline"/>
                <w:rPr>
                  <w:rFonts w:ascii="Verdana" w:hAnsi="Verdana"/>
                  <w:color w:val="262626" w:themeColor="text1" w:themeTint="D9"/>
                  <w:sz w:val="16"/>
                  <w:szCs w:val="17"/>
                </w:rPr>
              </w:pPr>
              <w:r w:rsidRPr="00787359">
                <w:rPr>
                  <w:rFonts w:ascii="Verdana" w:hAnsi="Verdana"/>
                  <w:color w:val="262626" w:themeColor="text1" w:themeTint="D9"/>
                  <w:sz w:val="16"/>
                  <w:szCs w:val="17"/>
                </w:rPr>
                <w:t>Charity Commission No: 1139516   Scottish Charity No: SCO40060   Registered in England No: 07461063 </w:t>
              </w:r>
            </w:p>
          </w:sdtContent>
        </w:sdt>
      </w:tc>
    </w:tr>
  </w:tbl>
  <w:p w14:paraId="1E7DC67E" w14:textId="77777777" w:rsidR="00767111" w:rsidRDefault="00767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E7A37" w14:textId="77777777" w:rsidR="003D7B79" w:rsidRDefault="003D7B79" w:rsidP="00A00944">
      <w:r>
        <w:separator/>
      </w:r>
    </w:p>
  </w:footnote>
  <w:footnote w:type="continuationSeparator" w:id="0">
    <w:p w14:paraId="41C4987C" w14:textId="77777777" w:rsidR="003D7B79" w:rsidRDefault="003D7B79" w:rsidP="00A0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3"/>
      <w:gridCol w:w="6379"/>
    </w:tblGrid>
    <w:tr w:rsidR="007025DB" w14:paraId="10A63998" w14:textId="77777777" w:rsidTr="00F258DD">
      <w:tc>
        <w:tcPr>
          <w:tcW w:w="3153" w:type="dxa"/>
        </w:tcPr>
        <w:p w14:paraId="377B4DB4" w14:textId="77777777" w:rsidR="007025DB" w:rsidRDefault="007025DB" w:rsidP="007025DB">
          <w:pPr>
            <w:pStyle w:val="Header"/>
          </w:pPr>
        </w:p>
        <w:p w14:paraId="58CBF825" w14:textId="77777777" w:rsidR="00A63115" w:rsidRPr="00A63115" w:rsidRDefault="00A63115" w:rsidP="00A63115">
          <w:pPr>
            <w:spacing w:before="100" w:beforeAutospacing="1" w:after="100" w:afterAutospacing="1"/>
            <w:rPr>
              <w:lang w:eastAsia="en-GB"/>
            </w:rPr>
          </w:pPr>
          <w:r w:rsidRPr="00A63115">
            <w:rPr>
              <w:noProof/>
              <w:lang w:eastAsia="en-GB"/>
            </w:rPr>
            <w:drawing>
              <wp:inline distT="0" distB="0" distL="0" distR="0" wp14:anchorId="23FB83E0" wp14:editId="2CEB8CE5">
                <wp:extent cx="939018" cy="514350"/>
                <wp:effectExtent l="0" t="0" r="0" b="0"/>
                <wp:docPr id="1" name="Picture 1" descr="C:\Users\BenWiltshire\FOM\G-Drive - Documents\SEQOHS Accreditation Unit\Staff\My Documents\F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Wiltshire\FOM\G-Drive - Documents\SEQOHS Accreditation Unit\Staff\My Documents\FOM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610" cy="523438"/>
                        </a:xfrm>
                        <a:prstGeom prst="rect">
                          <a:avLst/>
                        </a:prstGeom>
                        <a:noFill/>
                        <a:ln>
                          <a:noFill/>
                        </a:ln>
                      </pic:spPr>
                    </pic:pic>
                  </a:graphicData>
                </a:graphic>
              </wp:inline>
            </w:drawing>
          </w:r>
        </w:p>
        <w:p w14:paraId="4023AC0C" w14:textId="608C0332" w:rsidR="007025DB" w:rsidRDefault="007025DB" w:rsidP="007025DB">
          <w:pPr>
            <w:pStyle w:val="Header"/>
          </w:pPr>
        </w:p>
      </w:tc>
      <w:tc>
        <w:tcPr>
          <w:tcW w:w="6379" w:type="dxa"/>
        </w:tcPr>
        <w:p w14:paraId="24F5B988" w14:textId="762337E1" w:rsidR="007025DB" w:rsidRDefault="007025DB" w:rsidP="007025DB">
          <w:pPr>
            <w:pStyle w:val="Header"/>
            <w:jc w:val="right"/>
          </w:pPr>
        </w:p>
        <w:p w14:paraId="01DB508E" w14:textId="3093502C" w:rsidR="007025DB" w:rsidRDefault="007025DB" w:rsidP="007025DB">
          <w:pPr>
            <w:pStyle w:val="Header"/>
            <w:jc w:val="right"/>
          </w:pPr>
          <w:r w:rsidRPr="00772F80">
            <w:rPr>
              <w:noProof/>
              <w:lang w:eastAsia="en-GB"/>
            </w:rPr>
            <w:drawing>
              <wp:inline distT="0" distB="0" distL="0" distR="0" wp14:anchorId="5B31922E" wp14:editId="5FB4FC07">
                <wp:extent cx="2569029" cy="818988"/>
                <wp:effectExtent l="0" t="0" r="0" b="0"/>
                <wp:docPr id="15" name="Picture 15" descr="S:\Accreditation Unit\SEQOHS\Brand Identity\SEQOHS logo\Long logo\SEQOHS LOGO REDRAW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creditation Unit\SEQOHS\Brand Identity\SEQOHS logo\Long logo\SEQOHS LOGO REDRAW FIN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 r="2006"/>
                        <a:stretch/>
                      </pic:blipFill>
                      <pic:spPr bwMode="auto">
                        <a:xfrm>
                          <a:off x="0" y="0"/>
                          <a:ext cx="2634890" cy="83998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430931" w14:textId="6D24D3B1" w:rsidR="00767111" w:rsidRDefault="00767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293"/>
    <w:multiLevelType w:val="hybridMultilevel"/>
    <w:tmpl w:val="634E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33094"/>
    <w:multiLevelType w:val="hybridMultilevel"/>
    <w:tmpl w:val="96C201F4"/>
    <w:lvl w:ilvl="0" w:tplc="07243F7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9871AE"/>
    <w:multiLevelType w:val="hybridMultilevel"/>
    <w:tmpl w:val="BAC4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C1012"/>
    <w:multiLevelType w:val="hybridMultilevel"/>
    <w:tmpl w:val="6AC46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F7D5C"/>
    <w:multiLevelType w:val="hybridMultilevel"/>
    <w:tmpl w:val="FE4663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DE7425"/>
    <w:multiLevelType w:val="hybridMultilevel"/>
    <w:tmpl w:val="12EC4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5F0C68"/>
    <w:multiLevelType w:val="hybridMultilevel"/>
    <w:tmpl w:val="3EA6F4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7">
      <w:start w:val="1"/>
      <w:numFmt w:val="lowerLetter"/>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6F2A1B"/>
    <w:multiLevelType w:val="hybridMultilevel"/>
    <w:tmpl w:val="2BBE7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E41F15"/>
    <w:multiLevelType w:val="hybridMultilevel"/>
    <w:tmpl w:val="2162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96BF4"/>
    <w:multiLevelType w:val="hybridMultilevel"/>
    <w:tmpl w:val="AC18AB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7E55A59"/>
    <w:multiLevelType w:val="hybridMultilevel"/>
    <w:tmpl w:val="C720C5F6"/>
    <w:lvl w:ilvl="0" w:tplc="08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9977B8F"/>
    <w:multiLevelType w:val="hybridMultilevel"/>
    <w:tmpl w:val="BDD653F8"/>
    <w:lvl w:ilvl="0" w:tplc="0809000F">
      <w:start w:val="1"/>
      <w:numFmt w:val="decimal"/>
      <w:lvlText w:val="%1."/>
      <w:lvlJc w:val="left"/>
      <w:pPr>
        <w:ind w:left="2880" w:hanging="360"/>
      </w:pPr>
    </w:lvl>
    <w:lvl w:ilvl="1" w:tplc="04090001">
      <w:start w:val="1"/>
      <w:numFmt w:val="bullet"/>
      <w:lvlText w:val=""/>
      <w:lvlJc w:val="left"/>
      <w:pPr>
        <w:ind w:left="3600" w:hanging="360"/>
      </w:pPr>
      <w:rPr>
        <w:rFonts w:ascii="Symbol" w:hAnsi="Symbol"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F4C3BA0"/>
    <w:multiLevelType w:val="hybridMultilevel"/>
    <w:tmpl w:val="9B824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C46169F"/>
    <w:multiLevelType w:val="multilevel"/>
    <w:tmpl w:val="321CEAE2"/>
    <w:styleLink w:val="Numbered"/>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813798"/>
    <w:multiLevelType w:val="hybridMultilevel"/>
    <w:tmpl w:val="1AF0D4A8"/>
    <w:lvl w:ilvl="0" w:tplc="0809000F">
      <w:start w:val="1"/>
      <w:numFmt w:val="decimal"/>
      <w:lvlText w:val="%1."/>
      <w:lvlJc w:val="left"/>
      <w:pPr>
        <w:ind w:left="2880" w:hanging="360"/>
      </w:pPr>
    </w:lvl>
    <w:lvl w:ilvl="1" w:tplc="08090003">
      <w:start w:val="1"/>
      <w:numFmt w:val="bullet"/>
      <w:lvlText w:val="o"/>
      <w:lvlJc w:val="left"/>
      <w:pPr>
        <w:ind w:left="3600" w:hanging="360"/>
      </w:pPr>
      <w:rPr>
        <w:rFonts w:ascii="Courier New" w:hAnsi="Courier New" w:cs="Courier New"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3"/>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0"/>
  </w:num>
  <w:num w:numId="7">
    <w:abstractNumId w:val="11"/>
  </w:num>
  <w:num w:numId="8">
    <w:abstractNumId w:val="9"/>
  </w:num>
  <w:num w:numId="9">
    <w:abstractNumId w:val="5"/>
  </w:num>
  <w:num w:numId="10">
    <w:abstractNumId w:val="1"/>
  </w:num>
  <w:num w:numId="11">
    <w:abstractNumId w:val="6"/>
  </w:num>
  <w:num w:numId="12">
    <w:abstractNumId w:val="4"/>
  </w:num>
  <w:num w:numId="13">
    <w:abstractNumId w:val="8"/>
  </w:num>
  <w:num w:numId="14">
    <w:abstractNumId w:val="2"/>
  </w:num>
  <w:num w:numId="15">
    <w:abstractNumId w:val="3"/>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39"/>
    <w:rsid w:val="00006B09"/>
    <w:rsid w:val="00010389"/>
    <w:rsid w:val="000131CD"/>
    <w:rsid w:val="000250E5"/>
    <w:rsid w:val="000327F4"/>
    <w:rsid w:val="00041973"/>
    <w:rsid w:val="00043FE5"/>
    <w:rsid w:val="00044CF0"/>
    <w:rsid w:val="0005241E"/>
    <w:rsid w:val="000733F0"/>
    <w:rsid w:val="00073EE9"/>
    <w:rsid w:val="00074D39"/>
    <w:rsid w:val="000755D3"/>
    <w:rsid w:val="0007580E"/>
    <w:rsid w:val="0008238D"/>
    <w:rsid w:val="000854E9"/>
    <w:rsid w:val="00087102"/>
    <w:rsid w:val="00091855"/>
    <w:rsid w:val="00095060"/>
    <w:rsid w:val="0009615B"/>
    <w:rsid w:val="000B1253"/>
    <w:rsid w:val="000C6D74"/>
    <w:rsid w:val="000D3497"/>
    <w:rsid w:val="000D6739"/>
    <w:rsid w:val="000D6A88"/>
    <w:rsid w:val="000D70A6"/>
    <w:rsid w:val="000F4659"/>
    <w:rsid w:val="000F6782"/>
    <w:rsid w:val="00103A0B"/>
    <w:rsid w:val="00120EDB"/>
    <w:rsid w:val="00121F76"/>
    <w:rsid w:val="0012423D"/>
    <w:rsid w:val="00127A05"/>
    <w:rsid w:val="00133850"/>
    <w:rsid w:val="00177ECA"/>
    <w:rsid w:val="001819DB"/>
    <w:rsid w:val="001842DC"/>
    <w:rsid w:val="001A2F93"/>
    <w:rsid w:val="001B0B6E"/>
    <w:rsid w:val="001B69E4"/>
    <w:rsid w:val="001C0756"/>
    <w:rsid w:val="001E5EFC"/>
    <w:rsid w:val="001E608A"/>
    <w:rsid w:val="00220E54"/>
    <w:rsid w:val="00224BEB"/>
    <w:rsid w:val="00230E4A"/>
    <w:rsid w:val="00233F19"/>
    <w:rsid w:val="002352B8"/>
    <w:rsid w:val="0024039F"/>
    <w:rsid w:val="00255B7D"/>
    <w:rsid w:val="002578E3"/>
    <w:rsid w:val="00261C43"/>
    <w:rsid w:val="002774AB"/>
    <w:rsid w:val="00284CD9"/>
    <w:rsid w:val="00296609"/>
    <w:rsid w:val="00297DA3"/>
    <w:rsid w:val="002A4EE7"/>
    <w:rsid w:val="002B1C3F"/>
    <w:rsid w:val="002B1ECD"/>
    <w:rsid w:val="002C0CC2"/>
    <w:rsid w:val="002C490A"/>
    <w:rsid w:val="002D43E3"/>
    <w:rsid w:val="002D4AA2"/>
    <w:rsid w:val="00301706"/>
    <w:rsid w:val="003041BE"/>
    <w:rsid w:val="0030508E"/>
    <w:rsid w:val="00307097"/>
    <w:rsid w:val="00310C50"/>
    <w:rsid w:val="00310E15"/>
    <w:rsid w:val="00313FD2"/>
    <w:rsid w:val="003161FD"/>
    <w:rsid w:val="003176AF"/>
    <w:rsid w:val="00320B58"/>
    <w:rsid w:val="0033684D"/>
    <w:rsid w:val="00341D8F"/>
    <w:rsid w:val="00342932"/>
    <w:rsid w:val="0034662F"/>
    <w:rsid w:val="00350DAB"/>
    <w:rsid w:val="00354430"/>
    <w:rsid w:val="00356637"/>
    <w:rsid w:val="00365041"/>
    <w:rsid w:val="0036550C"/>
    <w:rsid w:val="00396EE2"/>
    <w:rsid w:val="003B1591"/>
    <w:rsid w:val="003C1488"/>
    <w:rsid w:val="003C2B3E"/>
    <w:rsid w:val="003C5B69"/>
    <w:rsid w:val="003C5D04"/>
    <w:rsid w:val="003C6023"/>
    <w:rsid w:val="003C6C0D"/>
    <w:rsid w:val="003D0D26"/>
    <w:rsid w:val="003D19BF"/>
    <w:rsid w:val="003D2802"/>
    <w:rsid w:val="003D7B79"/>
    <w:rsid w:val="003E3373"/>
    <w:rsid w:val="003F0899"/>
    <w:rsid w:val="003F5A61"/>
    <w:rsid w:val="003F626F"/>
    <w:rsid w:val="004014AF"/>
    <w:rsid w:val="00403DF0"/>
    <w:rsid w:val="00414363"/>
    <w:rsid w:val="004261E9"/>
    <w:rsid w:val="0042687B"/>
    <w:rsid w:val="00431A3E"/>
    <w:rsid w:val="00433403"/>
    <w:rsid w:val="0044627F"/>
    <w:rsid w:val="0045584A"/>
    <w:rsid w:val="004566F3"/>
    <w:rsid w:val="00457AD4"/>
    <w:rsid w:val="0046023B"/>
    <w:rsid w:val="00462494"/>
    <w:rsid w:val="00463277"/>
    <w:rsid w:val="00465F57"/>
    <w:rsid w:val="00467DB0"/>
    <w:rsid w:val="004818E6"/>
    <w:rsid w:val="0048572E"/>
    <w:rsid w:val="00490348"/>
    <w:rsid w:val="00491A09"/>
    <w:rsid w:val="00497557"/>
    <w:rsid w:val="00497739"/>
    <w:rsid w:val="004A5B7C"/>
    <w:rsid w:val="004B3097"/>
    <w:rsid w:val="004B52A0"/>
    <w:rsid w:val="004C2B89"/>
    <w:rsid w:val="004C3540"/>
    <w:rsid w:val="004C535B"/>
    <w:rsid w:val="004C5EAA"/>
    <w:rsid w:val="004D3111"/>
    <w:rsid w:val="004D6989"/>
    <w:rsid w:val="004E7342"/>
    <w:rsid w:val="004F5666"/>
    <w:rsid w:val="0051697F"/>
    <w:rsid w:val="00517419"/>
    <w:rsid w:val="005319A3"/>
    <w:rsid w:val="00531C88"/>
    <w:rsid w:val="00531E18"/>
    <w:rsid w:val="00532F73"/>
    <w:rsid w:val="00536952"/>
    <w:rsid w:val="00547C19"/>
    <w:rsid w:val="00556436"/>
    <w:rsid w:val="00563809"/>
    <w:rsid w:val="00564DB7"/>
    <w:rsid w:val="00566EB8"/>
    <w:rsid w:val="0056724B"/>
    <w:rsid w:val="005776E6"/>
    <w:rsid w:val="005836C4"/>
    <w:rsid w:val="005933E8"/>
    <w:rsid w:val="005A627E"/>
    <w:rsid w:val="005B0AD6"/>
    <w:rsid w:val="005C15AC"/>
    <w:rsid w:val="005C7C4D"/>
    <w:rsid w:val="005E1AA9"/>
    <w:rsid w:val="005E3F87"/>
    <w:rsid w:val="005E6AEF"/>
    <w:rsid w:val="00602ADB"/>
    <w:rsid w:val="00602E22"/>
    <w:rsid w:val="00604BE3"/>
    <w:rsid w:val="00607D35"/>
    <w:rsid w:val="00624999"/>
    <w:rsid w:val="006362A3"/>
    <w:rsid w:val="00647468"/>
    <w:rsid w:val="0065709C"/>
    <w:rsid w:val="00660031"/>
    <w:rsid w:val="006613CC"/>
    <w:rsid w:val="0066246A"/>
    <w:rsid w:val="006653AC"/>
    <w:rsid w:val="006732A3"/>
    <w:rsid w:val="0067623E"/>
    <w:rsid w:val="00676E99"/>
    <w:rsid w:val="00685EDE"/>
    <w:rsid w:val="00697D2A"/>
    <w:rsid w:val="006A1B55"/>
    <w:rsid w:val="006C3295"/>
    <w:rsid w:val="006E44B4"/>
    <w:rsid w:val="006F1C8E"/>
    <w:rsid w:val="006F4912"/>
    <w:rsid w:val="006F4968"/>
    <w:rsid w:val="007025DB"/>
    <w:rsid w:val="0070665A"/>
    <w:rsid w:val="007115F7"/>
    <w:rsid w:val="00713D83"/>
    <w:rsid w:val="00721549"/>
    <w:rsid w:val="00737671"/>
    <w:rsid w:val="00737BCF"/>
    <w:rsid w:val="0075128F"/>
    <w:rsid w:val="00753A7E"/>
    <w:rsid w:val="00762F24"/>
    <w:rsid w:val="00767111"/>
    <w:rsid w:val="00773355"/>
    <w:rsid w:val="007A0598"/>
    <w:rsid w:val="007A0A51"/>
    <w:rsid w:val="007A362B"/>
    <w:rsid w:val="007A4756"/>
    <w:rsid w:val="007A7F95"/>
    <w:rsid w:val="007B2D67"/>
    <w:rsid w:val="007B5C33"/>
    <w:rsid w:val="007B7913"/>
    <w:rsid w:val="007C425A"/>
    <w:rsid w:val="007E41CC"/>
    <w:rsid w:val="00802497"/>
    <w:rsid w:val="00805BB9"/>
    <w:rsid w:val="00814428"/>
    <w:rsid w:val="008151AD"/>
    <w:rsid w:val="00816BAA"/>
    <w:rsid w:val="0082131E"/>
    <w:rsid w:val="00824B02"/>
    <w:rsid w:val="00830AE1"/>
    <w:rsid w:val="00845C7A"/>
    <w:rsid w:val="008479C7"/>
    <w:rsid w:val="00854A39"/>
    <w:rsid w:val="008568DE"/>
    <w:rsid w:val="00863F5C"/>
    <w:rsid w:val="00866606"/>
    <w:rsid w:val="0087178A"/>
    <w:rsid w:val="00872752"/>
    <w:rsid w:val="00877F17"/>
    <w:rsid w:val="00880C6F"/>
    <w:rsid w:val="00884F66"/>
    <w:rsid w:val="008857D2"/>
    <w:rsid w:val="00896428"/>
    <w:rsid w:val="008B0924"/>
    <w:rsid w:val="008B1A12"/>
    <w:rsid w:val="008B3038"/>
    <w:rsid w:val="008C55B2"/>
    <w:rsid w:val="008E7117"/>
    <w:rsid w:val="008F1222"/>
    <w:rsid w:val="008F2790"/>
    <w:rsid w:val="008F4AD5"/>
    <w:rsid w:val="008F710D"/>
    <w:rsid w:val="009076EA"/>
    <w:rsid w:val="00912E82"/>
    <w:rsid w:val="00916B62"/>
    <w:rsid w:val="00920984"/>
    <w:rsid w:val="00927ED7"/>
    <w:rsid w:val="00930499"/>
    <w:rsid w:val="00941FFE"/>
    <w:rsid w:val="009427D4"/>
    <w:rsid w:val="00963346"/>
    <w:rsid w:val="00965A1F"/>
    <w:rsid w:val="00967695"/>
    <w:rsid w:val="009811C3"/>
    <w:rsid w:val="009856BC"/>
    <w:rsid w:val="009A176D"/>
    <w:rsid w:val="009A1827"/>
    <w:rsid w:val="009B0E87"/>
    <w:rsid w:val="009C0325"/>
    <w:rsid w:val="009C1546"/>
    <w:rsid w:val="009C1DAF"/>
    <w:rsid w:val="009D0178"/>
    <w:rsid w:val="009D0283"/>
    <w:rsid w:val="009D1C63"/>
    <w:rsid w:val="009E0F1A"/>
    <w:rsid w:val="009F0D89"/>
    <w:rsid w:val="009F6F3E"/>
    <w:rsid w:val="009F7A37"/>
    <w:rsid w:val="00A00944"/>
    <w:rsid w:val="00A029C6"/>
    <w:rsid w:val="00A0473D"/>
    <w:rsid w:val="00A26D9F"/>
    <w:rsid w:val="00A31C9C"/>
    <w:rsid w:val="00A32AE8"/>
    <w:rsid w:val="00A32F40"/>
    <w:rsid w:val="00A3562E"/>
    <w:rsid w:val="00A4314C"/>
    <w:rsid w:val="00A44557"/>
    <w:rsid w:val="00A61237"/>
    <w:rsid w:val="00A63115"/>
    <w:rsid w:val="00A81357"/>
    <w:rsid w:val="00A84123"/>
    <w:rsid w:val="00A8649A"/>
    <w:rsid w:val="00A86BEF"/>
    <w:rsid w:val="00A94130"/>
    <w:rsid w:val="00A95BCF"/>
    <w:rsid w:val="00A9600F"/>
    <w:rsid w:val="00AA0CC1"/>
    <w:rsid w:val="00AA5E97"/>
    <w:rsid w:val="00AA6524"/>
    <w:rsid w:val="00AA6750"/>
    <w:rsid w:val="00AC1050"/>
    <w:rsid w:val="00AC1C7F"/>
    <w:rsid w:val="00AC30D9"/>
    <w:rsid w:val="00AD390E"/>
    <w:rsid w:val="00AD78F6"/>
    <w:rsid w:val="00AF60B1"/>
    <w:rsid w:val="00B066A9"/>
    <w:rsid w:val="00B11EAC"/>
    <w:rsid w:val="00B23D77"/>
    <w:rsid w:val="00B44E56"/>
    <w:rsid w:val="00B45A06"/>
    <w:rsid w:val="00B462B5"/>
    <w:rsid w:val="00B813AB"/>
    <w:rsid w:val="00B81C80"/>
    <w:rsid w:val="00B93C83"/>
    <w:rsid w:val="00B96208"/>
    <w:rsid w:val="00B97BB4"/>
    <w:rsid w:val="00BA13EA"/>
    <w:rsid w:val="00BA7FB0"/>
    <w:rsid w:val="00BD375A"/>
    <w:rsid w:val="00BE2745"/>
    <w:rsid w:val="00BF12B2"/>
    <w:rsid w:val="00BF573E"/>
    <w:rsid w:val="00C02A13"/>
    <w:rsid w:val="00C2265E"/>
    <w:rsid w:val="00C24EF2"/>
    <w:rsid w:val="00C25871"/>
    <w:rsid w:val="00C3797F"/>
    <w:rsid w:val="00C5427F"/>
    <w:rsid w:val="00C54D73"/>
    <w:rsid w:val="00C558DC"/>
    <w:rsid w:val="00C72A1C"/>
    <w:rsid w:val="00C7320A"/>
    <w:rsid w:val="00C82626"/>
    <w:rsid w:val="00C86063"/>
    <w:rsid w:val="00C90595"/>
    <w:rsid w:val="00C909CB"/>
    <w:rsid w:val="00C93EFA"/>
    <w:rsid w:val="00CA22FC"/>
    <w:rsid w:val="00CA4CC1"/>
    <w:rsid w:val="00CB1CBD"/>
    <w:rsid w:val="00CB38D0"/>
    <w:rsid w:val="00CC6140"/>
    <w:rsid w:val="00CD01A9"/>
    <w:rsid w:val="00CD2301"/>
    <w:rsid w:val="00CD3F96"/>
    <w:rsid w:val="00CD5740"/>
    <w:rsid w:val="00CE1411"/>
    <w:rsid w:val="00CE59D3"/>
    <w:rsid w:val="00CF3597"/>
    <w:rsid w:val="00CF483C"/>
    <w:rsid w:val="00D0384D"/>
    <w:rsid w:val="00D122D7"/>
    <w:rsid w:val="00D15769"/>
    <w:rsid w:val="00D20CA1"/>
    <w:rsid w:val="00D216B5"/>
    <w:rsid w:val="00D22582"/>
    <w:rsid w:val="00D23F42"/>
    <w:rsid w:val="00D26741"/>
    <w:rsid w:val="00D30665"/>
    <w:rsid w:val="00D35B24"/>
    <w:rsid w:val="00D4127A"/>
    <w:rsid w:val="00D4446E"/>
    <w:rsid w:val="00D603DE"/>
    <w:rsid w:val="00D75BE9"/>
    <w:rsid w:val="00D90695"/>
    <w:rsid w:val="00D94DAD"/>
    <w:rsid w:val="00DA53B2"/>
    <w:rsid w:val="00DC3095"/>
    <w:rsid w:val="00DC7517"/>
    <w:rsid w:val="00DD6155"/>
    <w:rsid w:val="00DD691A"/>
    <w:rsid w:val="00DE0767"/>
    <w:rsid w:val="00DE36ED"/>
    <w:rsid w:val="00DE758B"/>
    <w:rsid w:val="00DF5ACF"/>
    <w:rsid w:val="00E0199C"/>
    <w:rsid w:val="00E05E6C"/>
    <w:rsid w:val="00E11375"/>
    <w:rsid w:val="00E14C43"/>
    <w:rsid w:val="00E15DC5"/>
    <w:rsid w:val="00E24899"/>
    <w:rsid w:val="00E31092"/>
    <w:rsid w:val="00E64AF9"/>
    <w:rsid w:val="00E67553"/>
    <w:rsid w:val="00E7571B"/>
    <w:rsid w:val="00EA38B8"/>
    <w:rsid w:val="00EA588A"/>
    <w:rsid w:val="00EC2847"/>
    <w:rsid w:val="00ED24DE"/>
    <w:rsid w:val="00EE7266"/>
    <w:rsid w:val="00EF0AD6"/>
    <w:rsid w:val="00EF5050"/>
    <w:rsid w:val="00F077D3"/>
    <w:rsid w:val="00F07F5C"/>
    <w:rsid w:val="00F11832"/>
    <w:rsid w:val="00F16838"/>
    <w:rsid w:val="00F20697"/>
    <w:rsid w:val="00F226E2"/>
    <w:rsid w:val="00F258DD"/>
    <w:rsid w:val="00F369C4"/>
    <w:rsid w:val="00F52683"/>
    <w:rsid w:val="00F5336B"/>
    <w:rsid w:val="00F555C9"/>
    <w:rsid w:val="00F65D31"/>
    <w:rsid w:val="00F662F2"/>
    <w:rsid w:val="00F721DB"/>
    <w:rsid w:val="00F725BF"/>
    <w:rsid w:val="00F75CDD"/>
    <w:rsid w:val="00F75ED4"/>
    <w:rsid w:val="00F7695F"/>
    <w:rsid w:val="00F76F48"/>
    <w:rsid w:val="00F811E4"/>
    <w:rsid w:val="00F817FC"/>
    <w:rsid w:val="00FA255C"/>
    <w:rsid w:val="00FB0E9C"/>
    <w:rsid w:val="00FC632D"/>
    <w:rsid w:val="00FC79DD"/>
    <w:rsid w:val="00FD1C43"/>
    <w:rsid w:val="00FD6CDF"/>
    <w:rsid w:val="00FE09D5"/>
    <w:rsid w:val="00FE200B"/>
    <w:rsid w:val="00FE2D87"/>
    <w:rsid w:val="00FE5598"/>
    <w:rsid w:val="00FE6252"/>
    <w:rsid w:val="00FF0503"/>
    <w:rsid w:val="00FF2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9CA75"/>
  <w15:docId w15:val="{46D5E950-7BF9-4F5E-9BB3-7395572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AD6"/>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autoRedefine/>
    <w:uiPriority w:val="9"/>
    <w:qFormat/>
    <w:rsid w:val="005C15AC"/>
    <w:pPr>
      <w:keepNext/>
      <w:keepLines/>
      <w:spacing w:before="240" w:after="240" w:line="288" w:lineRule="auto"/>
      <w:outlineLvl w:val="0"/>
    </w:pPr>
    <w:rPr>
      <w:rFonts w:ascii="Century Gothic" w:eastAsiaTheme="majorEastAsia" w:hAnsi="Century Gothic" w:cstheme="majorBidi"/>
      <w:b/>
      <w:bCs/>
      <w:color w:val="334063"/>
      <w:sz w:val="24"/>
      <w:szCs w:val="28"/>
    </w:rPr>
  </w:style>
  <w:style w:type="paragraph" w:styleId="Heading2">
    <w:name w:val="heading 2"/>
    <w:next w:val="Normal"/>
    <w:link w:val="Heading2Char"/>
    <w:uiPriority w:val="9"/>
    <w:unhideWhenUsed/>
    <w:qFormat/>
    <w:rsid w:val="007025DB"/>
    <w:pPr>
      <w:keepNext/>
      <w:keepLines/>
      <w:spacing w:before="200" w:after="0" w:line="240" w:lineRule="auto"/>
      <w:outlineLvl w:val="1"/>
    </w:pPr>
    <w:rPr>
      <w:rFonts w:ascii="Century Gothic" w:eastAsiaTheme="majorEastAsia" w:hAnsi="Century Gothic" w:cstheme="majorBidi"/>
      <w:b/>
      <w:bCs/>
      <w:color w:val="000000" w:themeColor="text1"/>
      <w:szCs w:val="26"/>
    </w:rPr>
  </w:style>
  <w:style w:type="paragraph" w:styleId="Heading3">
    <w:name w:val="heading 3"/>
    <w:next w:val="Normal"/>
    <w:link w:val="Heading3Char"/>
    <w:uiPriority w:val="9"/>
    <w:unhideWhenUsed/>
    <w:qFormat/>
    <w:rsid w:val="00A0473D"/>
    <w:pPr>
      <w:spacing w:after="120" w:line="240" w:lineRule="auto"/>
      <w:outlineLvl w:val="2"/>
    </w:pPr>
    <w:rPr>
      <w:rFonts w:ascii="Century Gothic" w:eastAsiaTheme="majorEastAsia" w:hAnsi="Century Gothic" w:cstheme="majorBidi"/>
      <w:i/>
      <w:color w:val="000000" w:themeColor="text1"/>
      <w:szCs w:val="26"/>
    </w:rPr>
  </w:style>
  <w:style w:type="paragraph" w:styleId="Heading4">
    <w:name w:val="heading 4"/>
    <w:next w:val="Normal"/>
    <w:link w:val="Heading4Char"/>
    <w:uiPriority w:val="9"/>
    <w:unhideWhenUsed/>
    <w:qFormat/>
    <w:rsid w:val="00531C88"/>
    <w:pPr>
      <w:keepNext/>
      <w:keepLines/>
      <w:spacing w:before="200" w:after="0"/>
      <w:outlineLvl w:val="3"/>
    </w:pPr>
    <w:rPr>
      <w:rFonts w:eastAsiaTheme="majorEastAsia" w:cstheme="majorBidi"/>
      <w:b/>
      <w:bCs/>
      <w:i/>
      <w:iCs/>
      <w:color w:val="334063"/>
    </w:rPr>
  </w:style>
  <w:style w:type="paragraph" w:styleId="Heading5">
    <w:name w:val="heading 5"/>
    <w:next w:val="Normal"/>
    <w:link w:val="Heading5Char"/>
    <w:uiPriority w:val="9"/>
    <w:unhideWhenUsed/>
    <w:qFormat/>
    <w:rsid w:val="00531C88"/>
    <w:pPr>
      <w:keepNext/>
      <w:keepLines/>
      <w:spacing w:before="200" w:after="0"/>
      <w:outlineLvl w:val="4"/>
    </w:pPr>
    <w:rPr>
      <w:rFonts w:eastAsiaTheme="majorEastAsia" w:cstheme="majorBidi"/>
      <w:color w:val="334063"/>
    </w:rPr>
  </w:style>
  <w:style w:type="paragraph" w:styleId="Heading6">
    <w:name w:val="heading 6"/>
    <w:basedOn w:val="Normal"/>
    <w:next w:val="Normal"/>
    <w:link w:val="Heading6Char"/>
    <w:uiPriority w:val="9"/>
    <w:unhideWhenUsed/>
    <w:rsid w:val="00F20697"/>
    <w:pPr>
      <w:keepNext/>
      <w:keepLines/>
      <w:spacing w:before="200"/>
      <w:outlineLvl w:val="5"/>
    </w:pPr>
    <w:rPr>
      <w:rFonts w:asciiTheme="minorHAnsi" w:eastAsiaTheme="majorEastAsia" w:hAnsiTheme="minorHAnsi" w:cstheme="majorBidi"/>
      <w:b/>
      <w:i/>
      <w:iCs/>
      <w:color w:val="0087B9"/>
      <w:sz w:val="22"/>
      <w:szCs w:val="22"/>
    </w:rPr>
  </w:style>
  <w:style w:type="paragraph" w:styleId="Heading7">
    <w:name w:val="heading 7"/>
    <w:basedOn w:val="Normal"/>
    <w:next w:val="Normal"/>
    <w:link w:val="Heading7Char"/>
    <w:uiPriority w:val="9"/>
    <w:unhideWhenUsed/>
    <w:rsid w:val="00F20697"/>
    <w:pPr>
      <w:spacing w:after="120"/>
      <w:outlineLvl w:val="6"/>
    </w:pPr>
    <w:rPr>
      <w:rFonts w:asciiTheme="minorHAnsi" w:eastAsiaTheme="minorHAnsi" w:hAnsiTheme="minorHAnsi" w:cstheme="minorBidi"/>
      <w:color w:val="0087B9"/>
      <w:sz w:val="22"/>
      <w:szCs w:val="22"/>
    </w:rPr>
  </w:style>
  <w:style w:type="paragraph" w:styleId="Heading8">
    <w:name w:val="heading 8"/>
    <w:basedOn w:val="Normal"/>
    <w:next w:val="Normal"/>
    <w:link w:val="Heading8Char"/>
    <w:uiPriority w:val="9"/>
    <w:unhideWhenUsed/>
    <w:rsid w:val="00B462B5"/>
    <w:pPr>
      <w:spacing w:after="12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unhideWhenUsed/>
    <w:rsid w:val="00B462B5"/>
    <w:pPr>
      <w:spacing w:after="120"/>
      <w:outlineLvl w:val="8"/>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5AC"/>
    <w:rPr>
      <w:rFonts w:ascii="Century Gothic" w:eastAsiaTheme="majorEastAsia" w:hAnsi="Century Gothic" w:cstheme="majorBidi"/>
      <w:b/>
      <w:bCs/>
      <w:color w:val="334063"/>
      <w:sz w:val="24"/>
      <w:szCs w:val="28"/>
    </w:rPr>
  </w:style>
  <w:style w:type="character" w:customStyle="1" w:styleId="Heading2Char">
    <w:name w:val="Heading 2 Char"/>
    <w:basedOn w:val="DefaultParagraphFont"/>
    <w:link w:val="Heading2"/>
    <w:uiPriority w:val="9"/>
    <w:rsid w:val="007025DB"/>
    <w:rPr>
      <w:rFonts w:ascii="Century Gothic" w:eastAsiaTheme="majorEastAsia" w:hAnsi="Century Gothic" w:cstheme="majorBidi"/>
      <w:b/>
      <w:bCs/>
      <w:color w:val="000000" w:themeColor="text1"/>
      <w:szCs w:val="26"/>
    </w:rPr>
  </w:style>
  <w:style w:type="character" w:customStyle="1" w:styleId="Heading3Char">
    <w:name w:val="Heading 3 Char"/>
    <w:basedOn w:val="DefaultParagraphFont"/>
    <w:link w:val="Heading3"/>
    <w:uiPriority w:val="9"/>
    <w:rsid w:val="00A0473D"/>
    <w:rPr>
      <w:rFonts w:ascii="Century Gothic" w:eastAsiaTheme="majorEastAsia" w:hAnsi="Century Gothic" w:cstheme="majorBidi"/>
      <w:i/>
      <w:color w:val="000000" w:themeColor="text1"/>
      <w:szCs w:val="26"/>
    </w:rPr>
  </w:style>
  <w:style w:type="character" w:customStyle="1" w:styleId="Heading5Char">
    <w:name w:val="Heading 5 Char"/>
    <w:basedOn w:val="DefaultParagraphFont"/>
    <w:link w:val="Heading5"/>
    <w:uiPriority w:val="9"/>
    <w:rsid w:val="00531C88"/>
    <w:rPr>
      <w:rFonts w:eastAsiaTheme="majorEastAsia" w:cstheme="majorBidi"/>
      <w:color w:val="334063"/>
    </w:rPr>
  </w:style>
  <w:style w:type="character" w:customStyle="1" w:styleId="Heading4Char">
    <w:name w:val="Heading 4 Char"/>
    <w:basedOn w:val="DefaultParagraphFont"/>
    <w:link w:val="Heading4"/>
    <w:uiPriority w:val="9"/>
    <w:rsid w:val="00531C88"/>
    <w:rPr>
      <w:rFonts w:eastAsiaTheme="majorEastAsia" w:cstheme="majorBidi"/>
      <w:b/>
      <w:bCs/>
      <w:i/>
      <w:iCs/>
      <w:color w:val="334063"/>
    </w:rPr>
  </w:style>
  <w:style w:type="character" w:customStyle="1" w:styleId="Heading6Char">
    <w:name w:val="Heading 6 Char"/>
    <w:basedOn w:val="DefaultParagraphFont"/>
    <w:link w:val="Heading6"/>
    <w:uiPriority w:val="9"/>
    <w:rsid w:val="00F20697"/>
    <w:rPr>
      <w:rFonts w:eastAsiaTheme="majorEastAsia" w:cstheme="majorBidi"/>
      <w:b/>
      <w:i/>
      <w:iCs/>
      <w:color w:val="0087B9"/>
    </w:rPr>
  </w:style>
  <w:style w:type="character" w:customStyle="1" w:styleId="Heading7Char">
    <w:name w:val="Heading 7 Char"/>
    <w:basedOn w:val="DefaultParagraphFont"/>
    <w:link w:val="Heading7"/>
    <w:uiPriority w:val="9"/>
    <w:rsid w:val="00F20697"/>
    <w:rPr>
      <w:color w:val="0087B9"/>
    </w:rPr>
  </w:style>
  <w:style w:type="character" w:customStyle="1" w:styleId="Heading8Char">
    <w:name w:val="Heading 8 Char"/>
    <w:basedOn w:val="DefaultParagraphFont"/>
    <w:link w:val="Heading8"/>
    <w:uiPriority w:val="9"/>
    <w:rsid w:val="00B462B5"/>
    <w:rPr>
      <w:i/>
    </w:rPr>
  </w:style>
  <w:style w:type="character" w:customStyle="1" w:styleId="Heading9Char">
    <w:name w:val="Heading 9 Char"/>
    <w:basedOn w:val="DefaultParagraphFont"/>
    <w:link w:val="Heading9"/>
    <w:uiPriority w:val="9"/>
    <w:rsid w:val="00B462B5"/>
  </w:style>
  <w:style w:type="paragraph" w:styleId="Title">
    <w:name w:val="Title"/>
    <w:basedOn w:val="Normal"/>
    <w:next w:val="Normal"/>
    <w:link w:val="TitleChar"/>
    <w:uiPriority w:val="10"/>
    <w:qFormat/>
    <w:rsid w:val="00F20697"/>
    <w:pPr>
      <w:spacing w:before="240"/>
    </w:pPr>
    <w:rPr>
      <w:rFonts w:asciiTheme="minorHAnsi" w:eastAsiaTheme="minorHAnsi" w:hAnsiTheme="minorHAnsi" w:cstheme="minorBidi"/>
      <w:b/>
      <w:bCs/>
      <w:color w:val="334063"/>
      <w:sz w:val="40"/>
      <w:szCs w:val="40"/>
      <w:lang w:val="en-AU"/>
    </w:rPr>
  </w:style>
  <w:style w:type="character" w:customStyle="1" w:styleId="TitleChar">
    <w:name w:val="Title Char"/>
    <w:basedOn w:val="DefaultParagraphFont"/>
    <w:link w:val="Title"/>
    <w:uiPriority w:val="10"/>
    <w:rsid w:val="00F20697"/>
    <w:rPr>
      <w:b/>
      <w:bCs/>
      <w:color w:val="334063"/>
      <w:sz w:val="40"/>
      <w:szCs w:val="40"/>
      <w:lang w:val="en-AU"/>
    </w:rPr>
  </w:style>
  <w:style w:type="paragraph" w:customStyle="1" w:styleId="TOC4Char">
    <w:name w:val="TOC 4 Char"/>
    <w:basedOn w:val="Caption"/>
    <w:rsid w:val="00ED24DE"/>
    <w:pPr>
      <w:keepNext/>
      <w:spacing w:before="240" w:after="120"/>
    </w:pPr>
    <w:rPr>
      <w:rFonts w:ascii="Calibri" w:eastAsia="Calibri" w:hAnsi="Calibri" w:cs="Times New Roman"/>
      <w:color w:val="4F81BD"/>
      <w:sz w:val="22"/>
      <w:lang w:eastAsia="en-GB"/>
    </w:rPr>
  </w:style>
  <w:style w:type="paragraph" w:styleId="Subtitle">
    <w:name w:val="Subtitle"/>
    <w:basedOn w:val="Normal"/>
    <w:next w:val="Normal"/>
    <w:link w:val="SubtitleChar"/>
    <w:uiPriority w:val="11"/>
    <w:qFormat/>
    <w:rsid w:val="00F20697"/>
    <w:pPr>
      <w:spacing w:before="240"/>
    </w:pPr>
    <w:rPr>
      <w:rFonts w:asciiTheme="minorHAnsi" w:eastAsiaTheme="minorHAnsi" w:hAnsiTheme="minorHAnsi" w:cstheme="minorBidi"/>
      <w:color w:val="0087B9"/>
      <w:sz w:val="36"/>
      <w:szCs w:val="36"/>
      <w:lang w:val="en-AU"/>
    </w:rPr>
  </w:style>
  <w:style w:type="character" w:customStyle="1" w:styleId="SubtitleChar">
    <w:name w:val="Subtitle Char"/>
    <w:basedOn w:val="DefaultParagraphFont"/>
    <w:link w:val="Subtitle"/>
    <w:uiPriority w:val="11"/>
    <w:rsid w:val="00F20697"/>
    <w:rPr>
      <w:color w:val="0087B9"/>
      <w:sz w:val="36"/>
      <w:szCs w:val="36"/>
      <w:lang w:val="en-AU"/>
    </w:rPr>
  </w:style>
  <w:style w:type="paragraph" w:styleId="Caption">
    <w:name w:val="caption"/>
    <w:basedOn w:val="Normal"/>
    <w:next w:val="Normal"/>
    <w:uiPriority w:val="35"/>
    <w:semiHidden/>
    <w:unhideWhenUsed/>
    <w:qFormat/>
    <w:rsid w:val="00ED24DE"/>
    <w:pPr>
      <w:spacing w:after="200"/>
    </w:pPr>
    <w:rPr>
      <w:rFonts w:asciiTheme="minorHAnsi" w:eastAsiaTheme="minorHAnsi" w:hAnsiTheme="minorHAnsi" w:cstheme="minorBidi"/>
      <w:b/>
      <w:bCs/>
      <w:color w:val="4F81BD" w:themeColor="accent1"/>
      <w:sz w:val="18"/>
      <w:szCs w:val="18"/>
    </w:rPr>
  </w:style>
  <w:style w:type="paragraph" w:styleId="ListParagraph">
    <w:name w:val="List Paragraph"/>
    <w:basedOn w:val="Normal"/>
    <w:uiPriority w:val="34"/>
    <w:qFormat/>
    <w:rsid w:val="00121F76"/>
    <w:pPr>
      <w:spacing w:after="120"/>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0094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0944"/>
  </w:style>
  <w:style w:type="paragraph" w:styleId="Footer">
    <w:name w:val="footer"/>
    <w:link w:val="FooterChar"/>
    <w:uiPriority w:val="99"/>
    <w:unhideWhenUsed/>
    <w:rsid w:val="008151AD"/>
    <w:pPr>
      <w:tabs>
        <w:tab w:val="center" w:pos="4513"/>
        <w:tab w:val="right" w:pos="9026"/>
      </w:tabs>
      <w:spacing w:after="0" w:line="240" w:lineRule="auto"/>
    </w:pPr>
    <w:rPr>
      <w:color w:val="404040" w:themeColor="text1" w:themeTint="BF"/>
      <w:sz w:val="18"/>
    </w:rPr>
  </w:style>
  <w:style w:type="character" w:customStyle="1" w:styleId="FooterChar">
    <w:name w:val="Footer Char"/>
    <w:basedOn w:val="DefaultParagraphFont"/>
    <w:link w:val="Footer"/>
    <w:uiPriority w:val="99"/>
    <w:rsid w:val="008151AD"/>
    <w:rPr>
      <w:color w:val="404040" w:themeColor="text1" w:themeTint="BF"/>
      <w:sz w:val="18"/>
    </w:rPr>
  </w:style>
  <w:style w:type="table" w:styleId="TableGrid">
    <w:name w:val="Table Grid"/>
    <w:basedOn w:val="TableNormal"/>
    <w:uiPriority w:val="59"/>
    <w:rsid w:val="00A0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944"/>
    <w:rPr>
      <w:rFonts w:ascii="Tahoma" w:hAnsi="Tahoma" w:cs="Tahoma"/>
      <w:sz w:val="16"/>
      <w:szCs w:val="16"/>
    </w:rPr>
  </w:style>
  <w:style w:type="character" w:customStyle="1" w:styleId="BalloonTextChar">
    <w:name w:val="Balloon Text Char"/>
    <w:basedOn w:val="DefaultParagraphFont"/>
    <w:link w:val="BalloonText"/>
    <w:uiPriority w:val="99"/>
    <w:semiHidden/>
    <w:rsid w:val="00A00944"/>
    <w:rPr>
      <w:rFonts w:ascii="Tahoma" w:hAnsi="Tahoma" w:cs="Tahoma"/>
      <w:sz w:val="16"/>
      <w:szCs w:val="16"/>
    </w:rPr>
  </w:style>
  <w:style w:type="character" w:styleId="PlaceholderText">
    <w:name w:val="Placeholder Text"/>
    <w:basedOn w:val="DefaultParagraphFont"/>
    <w:uiPriority w:val="99"/>
    <w:semiHidden/>
    <w:rsid w:val="008479C7"/>
    <w:rPr>
      <w:color w:val="808080"/>
    </w:rPr>
  </w:style>
  <w:style w:type="numbering" w:customStyle="1" w:styleId="Numbered">
    <w:name w:val="Numbered"/>
    <w:basedOn w:val="NoList"/>
    <w:rsid w:val="00462494"/>
    <w:pPr>
      <w:numPr>
        <w:numId w:val="1"/>
      </w:numPr>
    </w:pPr>
  </w:style>
  <w:style w:type="paragraph" w:customStyle="1" w:styleId="BulletList">
    <w:name w:val="Bullet List"/>
    <w:basedOn w:val="Normal"/>
    <w:rsid w:val="00462494"/>
    <w:pPr>
      <w:spacing w:after="120"/>
      <w:ind w:left="641" w:hanging="360"/>
    </w:pPr>
    <w:rPr>
      <w:rFonts w:ascii="Arial" w:hAnsi="Arial"/>
      <w:sz w:val="22"/>
      <w:szCs w:val="22"/>
      <w:lang w:eastAsia="en-GB"/>
    </w:rPr>
  </w:style>
  <w:style w:type="table" w:styleId="TableContemporary">
    <w:name w:val="Table Contemporary"/>
    <w:basedOn w:val="TableNormal"/>
    <w:rsid w:val="00462494"/>
    <w:pPr>
      <w:spacing w:after="12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EQOHSTable">
    <w:name w:val="SEQOHS Table"/>
    <w:basedOn w:val="TableNormal"/>
    <w:uiPriority w:val="99"/>
    <w:rsid w:val="00824B02"/>
    <w:pPr>
      <w:spacing w:after="0" w:line="240" w:lineRule="auto"/>
    </w:pPr>
    <w:tblPr>
      <w:tblBorders>
        <w:left w:val="single" w:sz="4" w:space="0" w:color="0087B9"/>
        <w:bottom w:val="single" w:sz="4" w:space="0" w:color="0087B9"/>
        <w:right w:val="single" w:sz="4" w:space="0" w:color="0087B9"/>
        <w:insideH w:val="single" w:sz="4" w:space="0" w:color="0087B9"/>
      </w:tblBorders>
    </w:tblPr>
    <w:trPr>
      <w:cantSplit/>
    </w:trPr>
    <w:tcPr>
      <w:shd w:val="clear" w:color="auto" w:fill="auto"/>
    </w:tcPr>
    <w:tblStylePr w:type="firstRow">
      <w:rPr>
        <w:rFonts w:asciiTheme="minorHAnsi" w:hAnsiTheme="minorHAnsi"/>
        <w:b/>
        <w:color w:val="FFFFFF" w:themeColor="background1"/>
        <w:sz w:val="20"/>
      </w:rPr>
      <w:tblPr/>
      <w:tcPr>
        <w:shd w:val="clear" w:color="auto" w:fill="0087B9"/>
      </w:tcPr>
    </w:tblStylePr>
    <w:tblStylePr w:type="lastRow">
      <w:tblPr/>
      <w:tcPr>
        <w:shd w:val="clear" w:color="auto" w:fill="808080" w:themeFill="background1" w:themeFillShade="80"/>
      </w:tcPr>
    </w:tblStylePr>
    <w:tblStylePr w:type="firstCol">
      <w:rPr>
        <w:rFonts w:asciiTheme="minorHAnsi" w:hAnsiTheme="minorHAnsi"/>
        <w:b/>
        <w:color w:val="FFFFFF" w:themeColor="background1"/>
        <w:sz w:val="20"/>
      </w:rPr>
      <w:tblPr/>
      <w:tcPr>
        <w:shd w:val="clear" w:color="auto" w:fill="0087B9"/>
      </w:tcPr>
    </w:tblStylePr>
  </w:style>
  <w:style w:type="table" w:styleId="LightList-Accent5">
    <w:name w:val="Light List Accent 5"/>
    <w:basedOn w:val="TableNormal"/>
    <w:uiPriority w:val="61"/>
    <w:rsid w:val="00ED24D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rFonts w:asciiTheme="minorHAnsi" w:hAnsiTheme="minorHAnsi"/>
        <w:b/>
        <w:bCs/>
        <w:color w:val="FFFFFF" w:themeColor="background1"/>
        <w:sz w:val="22"/>
      </w:rPr>
      <w:tblPr/>
      <w:tcPr>
        <w:tcBorders>
          <w:top w:val="single" w:sz="4" w:space="0" w:color="0093D0"/>
          <w:left w:val="single" w:sz="4" w:space="0" w:color="0093D0"/>
          <w:bottom w:val="single" w:sz="4" w:space="0" w:color="0093D0"/>
          <w:right w:val="single" w:sz="4" w:space="0" w:color="0093D0"/>
          <w:insideH w:val="single" w:sz="4" w:space="0" w:color="0093D0"/>
          <w:insideV w:val="single" w:sz="4" w:space="0" w:color="0093D0"/>
        </w:tcBorders>
        <w:shd w:val="clear" w:color="auto" w:fill="0093D0"/>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497739"/>
    <w:pPr>
      <w:spacing w:after="120" w:line="240" w:lineRule="auto"/>
    </w:pPr>
  </w:style>
  <w:style w:type="character" w:styleId="CommentReference">
    <w:name w:val="annotation reference"/>
    <w:basedOn w:val="DefaultParagraphFont"/>
    <w:uiPriority w:val="99"/>
    <w:semiHidden/>
    <w:unhideWhenUsed/>
    <w:rsid w:val="004C2B89"/>
    <w:rPr>
      <w:sz w:val="18"/>
      <w:szCs w:val="18"/>
    </w:rPr>
  </w:style>
  <w:style w:type="paragraph" w:styleId="CommentText">
    <w:name w:val="annotation text"/>
    <w:basedOn w:val="Normal"/>
    <w:link w:val="CommentTextChar"/>
    <w:uiPriority w:val="99"/>
    <w:semiHidden/>
    <w:unhideWhenUsed/>
    <w:rsid w:val="004C2B89"/>
    <w:pPr>
      <w:spacing w:after="12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C2B89"/>
    <w:rPr>
      <w:sz w:val="24"/>
      <w:szCs w:val="24"/>
    </w:rPr>
  </w:style>
  <w:style w:type="paragraph" w:styleId="CommentSubject">
    <w:name w:val="annotation subject"/>
    <w:basedOn w:val="CommentText"/>
    <w:next w:val="CommentText"/>
    <w:link w:val="CommentSubjectChar"/>
    <w:uiPriority w:val="99"/>
    <w:semiHidden/>
    <w:unhideWhenUsed/>
    <w:rsid w:val="004C2B89"/>
    <w:rPr>
      <w:b/>
      <w:bCs/>
      <w:sz w:val="20"/>
      <w:szCs w:val="20"/>
    </w:rPr>
  </w:style>
  <w:style w:type="character" w:customStyle="1" w:styleId="CommentSubjectChar">
    <w:name w:val="Comment Subject Char"/>
    <w:basedOn w:val="CommentTextChar"/>
    <w:link w:val="CommentSubject"/>
    <w:uiPriority w:val="99"/>
    <w:semiHidden/>
    <w:rsid w:val="004C2B89"/>
    <w:rPr>
      <w:b/>
      <w:bCs/>
      <w:sz w:val="20"/>
      <w:szCs w:val="20"/>
    </w:rPr>
  </w:style>
  <w:style w:type="paragraph" w:styleId="Revision">
    <w:name w:val="Revision"/>
    <w:hidden/>
    <w:uiPriority w:val="99"/>
    <w:semiHidden/>
    <w:rsid w:val="00737BCF"/>
    <w:pPr>
      <w:spacing w:after="0" w:line="240" w:lineRule="auto"/>
    </w:pPr>
  </w:style>
  <w:style w:type="paragraph" w:styleId="NormalWeb">
    <w:name w:val="Normal (Web)"/>
    <w:basedOn w:val="Normal"/>
    <w:uiPriority w:val="99"/>
    <w:unhideWhenUsed/>
    <w:rsid w:val="00737BCF"/>
    <w:pPr>
      <w:spacing w:before="100" w:beforeAutospacing="1" w:after="100" w:afterAutospacing="1"/>
    </w:pPr>
    <w:rPr>
      <w:rFonts w:eastAsiaTheme="minorEastAsia"/>
      <w:lang w:val="en-US"/>
    </w:rPr>
  </w:style>
  <w:style w:type="character" w:styleId="Emphasis">
    <w:name w:val="Emphasis"/>
    <w:basedOn w:val="DefaultParagraphFont"/>
    <w:uiPriority w:val="20"/>
    <w:qFormat/>
    <w:rsid w:val="000C6D74"/>
    <w:rPr>
      <w:i/>
      <w:iCs/>
    </w:rPr>
  </w:style>
  <w:style w:type="paragraph" w:styleId="BodyText">
    <w:name w:val="Body Text"/>
    <w:basedOn w:val="Normal"/>
    <w:link w:val="BodyTextChar"/>
    <w:uiPriority w:val="1"/>
    <w:qFormat/>
    <w:rsid w:val="002C0CC2"/>
    <w:pPr>
      <w:widowControl w:val="0"/>
      <w:autoSpaceDE w:val="0"/>
      <w:autoSpaceDN w:val="0"/>
      <w:adjustRightInd w:val="0"/>
      <w:ind w:left="100"/>
    </w:pPr>
    <w:rPr>
      <w:rFonts w:ascii="Calibri" w:eastAsiaTheme="minorEastAsia" w:hAnsi="Calibri" w:cs="Calibri"/>
      <w:sz w:val="22"/>
      <w:szCs w:val="22"/>
      <w:lang w:eastAsia="en-GB"/>
    </w:rPr>
  </w:style>
  <w:style w:type="character" w:customStyle="1" w:styleId="BodyTextChar">
    <w:name w:val="Body Text Char"/>
    <w:basedOn w:val="DefaultParagraphFont"/>
    <w:link w:val="BodyText"/>
    <w:uiPriority w:val="1"/>
    <w:rsid w:val="002C0CC2"/>
    <w:rPr>
      <w:rFonts w:ascii="Calibri" w:eastAsiaTheme="minorEastAsia" w:hAnsi="Calibri" w:cs="Calibri"/>
      <w:lang w:eastAsia="en-GB"/>
    </w:rPr>
  </w:style>
  <w:style w:type="character" w:customStyle="1" w:styleId="apple-converted-space">
    <w:name w:val="apple-converted-space"/>
    <w:basedOn w:val="DefaultParagraphFont"/>
    <w:rsid w:val="002C0CC2"/>
  </w:style>
  <w:style w:type="character" w:styleId="Hyperlink">
    <w:name w:val="Hyperlink"/>
    <w:basedOn w:val="DefaultParagraphFont"/>
    <w:uiPriority w:val="99"/>
    <w:unhideWhenUsed/>
    <w:rsid w:val="00942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179">
      <w:bodyDiv w:val="1"/>
      <w:marLeft w:val="0"/>
      <w:marRight w:val="0"/>
      <w:marTop w:val="0"/>
      <w:marBottom w:val="0"/>
      <w:divBdr>
        <w:top w:val="none" w:sz="0" w:space="0" w:color="auto"/>
        <w:left w:val="none" w:sz="0" w:space="0" w:color="auto"/>
        <w:bottom w:val="none" w:sz="0" w:space="0" w:color="auto"/>
        <w:right w:val="none" w:sz="0" w:space="0" w:color="auto"/>
      </w:divBdr>
    </w:div>
    <w:div w:id="630869822">
      <w:bodyDiv w:val="1"/>
      <w:marLeft w:val="0"/>
      <w:marRight w:val="0"/>
      <w:marTop w:val="0"/>
      <w:marBottom w:val="0"/>
      <w:divBdr>
        <w:top w:val="none" w:sz="0" w:space="0" w:color="auto"/>
        <w:left w:val="none" w:sz="0" w:space="0" w:color="auto"/>
        <w:bottom w:val="none" w:sz="0" w:space="0" w:color="auto"/>
        <w:right w:val="none" w:sz="0" w:space="0" w:color="auto"/>
      </w:divBdr>
    </w:div>
    <w:div w:id="713776651">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271276100">
      <w:bodyDiv w:val="1"/>
      <w:marLeft w:val="0"/>
      <w:marRight w:val="0"/>
      <w:marTop w:val="0"/>
      <w:marBottom w:val="0"/>
      <w:divBdr>
        <w:top w:val="none" w:sz="0" w:space="0" w:color="auto"/>
        <w:left w:val="none" w:sz="0" w:space="0" w:color="auto"/>
        <w:bottom w:val="none" w:sz="0" w:space="0" w:color="auto"/>
        <w:right w:val="none" w:sz="0" w:space="0" w:color="auto"/>
      </w:divBdr>
    </w:div>
    <w:div w:id="1669214858">
      <w:bodyDiv w:val="1"/>
      <w:marLeft w:val="0"/>
      <w:marRight w:val="0"/>
      <w:marTop w:val="0"/>
      <w:marBottom w:val="0"/>
      <w:divBdr>
        <w:top w:val="none" w:sz="0" w:space="0" w:color="auto"/>
        <w:left w:val="none" w:sz="0" w:space="0" w:color="auto"/>
        <w:bottom w:val="none" w:sz="0" w:space="0" w:color="auto"/>
        <w:right w:val="none" w:sz="0" w:space="0" w:color="auto"/>
      </w:divBdr>
    </w:div>
    <w:div w:id="1687094148">
      <w:bodyDiv w:val="1"/>
      <w:marLeft w:val="0"/>
      <w:marRight w:val="0"/>
      <w:marTop w:val="0"/>
      <w:marBottom w:val="0"/>
      <w:divBdr>
        <w:top w:val="none" w:sz="0" w:space="0" w:color="auto"/>
        <w:left w:val="none" w:sz="0" w:space="0" w:color="auto"/>
        <w:bottom w:val="none" w:sz="0" w:space="0" w:color="auto"/>
        <w:right w:val="none" w:sz="0" w:space="0" w:color="auto"/>
      </w:divBdr>
    </w:div>
    <w:div w:id="1920947384">
      <w:bodyDiv w:val="1"/>
      <w:marLeft w:val="0"/>
      <w:marRight w:val="0"/>
      <w:marTop w:val="0"/>
      <w:marBottom w:val="0"/>
      <w:divBdr>
        <w:top w:val="none" w:sz="0" w:space="0" w:color="auto"/>
        <w:left w:val="none" w:sz="0" w:space="0" w:color="auto"/>
        <w:bottom w:val="none" w:sz="0" w:space="0" w:color="auto"/>
        <w:right w:val="none" w:sz="0" w:space="0" w:color="auto"/>
      </w:divBdr>
    </w:div>
    <w:div w:id="20682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qoh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iv\Documents\SEQOHS%20-%20Final\Templates\General%20Short%20Document%20Template%20(v%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8" ma:contentTypeDescription="Create a new document." ma:contentTypeScope="" ma:versionID="db2a72241343b0a07225bbf8e152880e">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4db22538e4d570788a3cd7239bb52a32"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224D-6694-41B7-BB9A-00F54006B5A0}">
  <ds:schemaRefs>
    <ds:schemaRef ds:uri="92cc680a-3469-4394-a136-a4201cd94a82"/>
    <ds:schemaRef ds:uri="72c5d85b-a670-4cfa-b6a5-438af8ffa6b9"/>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7E9E23-1B14-456F-B7E1-401A3C213E68}">
  <ds:schemaRefs>
    <ds:schemaRef ds:uri="http://schemas.microsoft.com/sharepoint/v3/contenttype/forms"/>
  </ds:schemaRefs>
</ds:datastoreItem>
</file>

<file path=customXml/itemProps3.xml><?xml version="1.0" encoding="utf-8"?>
<ds:datastoreItem xmlns:ds="http://schemas.openxmlformats.org/officeDocument/2006/customXml" ds:itemID="{68F9B5C3-4BF4-446C-A233-9470AEB7E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51423-4DDD-46BE-8607-BF80354F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Short Document Template (v 1.0)</Template>
  <TotalTime>4</TotalTime>
  <Pages>5</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Westbury</dc:creator>
  <cp:lastModifiedBy>Ben Wiltshire</cp:lastModifiedBy>
  <cp:revision>4</cp:revision>
  <cp:lastPrinted>2023-10-30T18:20:00Z</cp:lastPrinted>
  <dcterms:created xsi:type="dcterms:W3CDTF">2024-01-30T10:51:00Z</dcterms:created>
  <dcterms:modified xsi:type="dcterms:W3CDTF">2024-08-06T09:12:00Z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